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after="0"/>
        <w:rPr>
          <w:rFonts w:eastAsia="宋体"/>
          <w:b/>
          <w:sz w:val="28"/>
          <w:szCs w:val="28"/>
          <w:lang w:val="en-US"/>
        </w:rPr>
      </w:pPr>
      <w:r>
        <w:rPr>
          <w:rFonts w:eastAsia="宋体"/>
          <w:b/>
          <w:sz w:val="28"/>
          <w:szCs w:val="28"/>
          <w:lang w:eastAsia="en-GB"/>
        </w:rPr>
        <w:t>3GPP TSG RAN3 meeting #11</w:t>
      </w:r>
      <w:r>
        <w:rPr>
          <w:rFonts w:eastAsia="宋体"/>
          <w:b/>
          <w:sz w:val="28"/>
          <w:szCs w:val="28"/>
          <w:lang w:val="en-US"/>
        </w:rPr>
        <w:t>7</w:t>
      </w:r>
      <w:r>
        <w:rPr>
          <w:rFonts w:hint="eastAsia" w:eastAsia="宋体"/>
          <w:b/>
          <w:sz w:val="28"/>
          <w:szCs w:val="28"/>
          <w:lang w:val="en-US"/>
        </w:rPr>
        <w:t>bis</w:t>
      </w:r>
      <w:r>
        <w:rPr>
          <w:rFonts w:eastAsia="宋体"/>
          <w:b/>
          <w:sz w:val="28"/>
          <w:szCs w:val="28"/>
          <w:lang w:eastAsia="en-GB"/>
        </w:rPr>
        <w:t>-e</w:t>
      </w:r>
      <w:r>
        <w:rPr>
          <w:rFonts w:eastAsia="宋体"/>
          <w:b/>
          <w:sz w:val="28"/>
          <w:szCs w:val="28"/>
          <w:lang w:eastAsia="en-GB"/>
        </w:rPr>
        <w:tab/>
      </w:r>
      <w:r>
        <w:rPr>
          <w:rFonts w:eastAsia="宋体"/>
          <w:b/>
          <w:sz w:val="28"/>
          <w:szCs w:val="28"/>
          <w:lang w:eastAsia="en-GB"/>
        </w:rPr>
        <w:tab/>
      </w:r>
      <w:r>
        <w:rPr>
          <w:rFonts w:eastAsia="宋体"/>
          <w:b/>
          <w:sz w:val="28"/>
          <w:szCs w:val="28"/>
          <w:lang w:eastAsia="en-GB"/>
        </w:rPr>
        <w:tab/>
      </w:r>
      <w:r>
        <w:rPr>
          <w:rFonts w:hint="eastAsia" w:eastAsia="宋体"/>
          <w:b/>
          <w:sz w:val="28"/>
          <w:szCs w:val="28"/>
          <w:lang w:val="en-US" w:eastAsia="zh-CN"/>
        </w:rPr>
        <w:t xml:space="preserve">                                      </w:t>
      </w:r>
      <w:r>
        <w:rPr>
          <w:rFonts w:hint="eastAsia" w:eastAsia="宋体"/>
          <w:b/>
          <w:sz w:val="28"/>
          <w:szCs w:val="28"/>
          <w:lang w:eastAsia="en-GB"/>
        </w:rPr>
        <w:t>R3-225836</w:t>
      </w:r>
    </w:p>
    <w:p>
      <w:pPr>
        <w:pStyle w:val="85"/>
        <w:rPr>
          <w:szCs w:val="22"/>
        </w:rPr>
      </w:pPr>
      <w:r>
        <w:rPr>
          <w:rFonts w:eastAsia="宋体"/>
          <w:sz w:val="28"/>
          <w:szCs w:val="28"/>
          <w:lang w:val="en-US"/>
        </w:rPr>
        <w:t>1</w:t>
      </w:r>
      <w:r>
        <w:rPr>
          <w:rFonts w:hint="eastAsia" w:eastAsia="宋体"/>
          <w:sz w:val="28"/>
          <w:szCs w:val="28"/>
          <w:lang w:val="en-US"/>
        </w:rPr>
        <w:t>0</w:t>
      </w:r>
      <w:r>
        <w:rPr>
          <w:rFonts w:eastAsia="宋体"/>
          <w:sz w:val="28"/>
          <w:szCs w:val="28"/>
          <w:lang w:eastAsia="ko-KR"/>
        </w:rPr>
        <w:t xml:space="preserve">th </w:t>
      </w:r>
      <w:r>
        <w:rPr>
          <w:rFonts w:hint="eastAsia" w:eastAsia="宋体"/>
          <w:sz w:val="28"/>
          <w:szCs w:val="28"/>
          <w:lang w:val="en-US"/>
        </w:rPr>
        <w:t>Oct</w:t>
      </w:r>
      <w:r>
        <w:rPr>
          <w:rFonts w:eastAsia="宋体"/>
          <w:sz w:val="28"/>
          <w:szCs w:val="28"/>
          <w:lang w:eastAsia="ko-KR"/>
        </w:rPr>
        <w:t xml:space="preserve"> – </w:t>
      </w:r>
      <w:r>
        <w:rPr>
          <w:rFonts w:hint="eastAsia" w:eastAsia="宋体"/>
          <w:sz w:val="28"/>
          <w:szCs w:val="28"/>
          <w:lang w:val="en-US"/>
        </w:rPr>
        <w:t>1</w:t>
      </w:r>
      <w:r>
        <w:rPr>
          <w:rFonts w:eastAsia="宋体"/>
          <w:sz w:val="28"/>
          <w:szCs w:val="28"/>
          <w:lang w:val="en-US"/>
        </w:rPr>
        <w:t>8</w:t>
      </w:r>
      <w:r>
        <w:rPr>
          <w:rFonts w:hint="eastAsia" w:eastAsia="宋体"/>
          <w:sz w:val="28"/>
          <w:szCs w:val="28"/>
          <w:lang w:val="en-US"/>
        </w:rPr>
        <w:t>th</w:t>
      </w:r>
      <w:r>
        <w:rPr>
          <w:rFonts w:eastAsia="宋体"/>
          <w:sz w:val="28"/>
          <w:szCs w:val="28"/>
          <w:lang w:eastAsia="ko-KR"/>
        </w:rPr>
        <w:t xml:space="preserve"> </w:t>
      </w:r>
      <w:r>
        <w:rPr>
          <w:rFonts w:hint="eastAsia" w:eastAsia="宋体"/>
          <w:sz w:val="28"/>
          <w:szCs w:val="28"/>
          <w:lang w:val="en-US"/>
        </w:rPr>
        <w:t>Oct</w:t>
      </w:r>
      <w:r>
        <w:rPr>
          <w:rFonts w:eastAsia="宋体"/>
          <w:sz w:val="28"/>
          <w:szCs w:val="28"/>
          <w:lang w:eastAsia="ko-KR"/>
        </w:rPr>
        <w:t xml:space="preserve"> 2022 Online</w:t>
      </w:r>
    </w:p>
    <w:p>
      <w:pPr>
        <w:pStyle w:val="67"/>
        <w:spacing w:after="180"/>
        <w:rPr>
          <w:rFonts w:ascii="Times New Roman" w:hAnsi="Times New Roman"/>
          <w:b/>
          <w:bCs/>
          <w:sz w:val="24"/>
          <w:lang w:val="pt-PT" w:eastAsia="zh-CN"/>
        </w:rPr>
      </w:pPr>
      <w:r>
        <w:rPr>
          <w:rFonts w:ascii="Times New Roman" w:hAnsi="Times New Roman" w:eastAsia="Times New Roman"/>
          <w:b/>
          <w:bCs/>
          <w:sz w:val="24"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hidden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DtsShapeName" o:spid="_x0000_s1026" o:spt="100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pt;margin-left:0pt;margin-top:0pt;height:0.05pt;width:0.05pt;visibility:hidden;z-index:251659264;mso-width-relative:page;mso-height-relative:page;" fillcolor="#FFFFFF" filled="t" stroked="t" coordsize="21600,21600" o:gfxdata="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<v:path o:connectlocs="9,1;2,9;9,18;16,9" o:connectangles="247,164,82,0"/>
                <v:fill on="t" focussize="0,0"/>
                <v:stroke color="#000000" miterlimit="8" joinstyle="miter"/>
                <v:imagedata o:title=""/>
                <o:lock v:ext="edit" aspectratio="f"/>
                <w10:anchorlock/>
              </v:shape>
            </w:pict>
          </mc:Fallback>
        </mc:AlternateContent>
      </w:r>
      <w:r>
        <w:rPr>
          <w:rFonts w:ascii="Times New Roman" w:hAnsi="Times New Roman"/>
          <w:b/>
          <w:bCs/>
          <w:sz w:val="24"/>
          <w:lang w:val="pt-PT"/>
        </w:rPr>
        <w:t xml:space="preserve">Agenda item: </w:t>
      </w:r>
      <w:r>
        <w:rPr>
          <w:rFonts w:ascii="Times New Roman" w:hAnsi="Times New Roman"/>
          <w:b/>
          <w:bCs/>
          <w:sz w:val="24"/>
          <w:lang w:val="pt-PT"/>
        </w:rPr>
        <w:tab/>
      </w:r>
      <w:r>
        <w:rPr>
          <w:rFonts w:hint="eastAsia" w:ascii="Times New Roman" w:hAnsi="Times New Roman" w:eastAsia="宋体"/>
          <w:b/>
          <w:bCs/>
          <w:sz w:val="24"/>
          <w:lang w:val="en-US" w:eastAsia="zh-CN"/>
        </w:rPr>
        <w:t xml:space="preserve">    </w:t>
      </w:r>
      <w:r>
        <w:rPr>
          <w:rFonts w:ascii="Times New Roman" w:hAnsi="Times New Roman"/>
          <w:b/>
          <w:bCs/>
          <w:sz w:val="24"/>
          <w:lang w:val="pt-PT"/>
        </w:rPr>
        <w:t>1</w:t>
      </w:r>
      <w:r>
        <w:rPr>
          <w:rFonts w:ascii="Times New Roman" w:hAnsi="Times New Roman" w:eastAsia="宋体"/>
          <w:b/>
          <w:bCs/>
          <w:sz w:val="24"/>
          <w:lang w:val="en-US" w:eastAsia="zh-CN"/>
        </w:rPr>
        <w:t>1</w:t>
      </w:r>
      <w:r>
        <w:rPr>
          <w:rFonts w:ascii="Times New Roman" w:hAnsi="Times New Roman"/>
          <w:b/>
          <w:bCs/>
          <w:sz w:val="24"/>
          <w:lang w:val="pt-PT"/>
        </w:rPr>
        <w:t>.1</w:t>
      </w:r>
      <w:r>
        <w:rPr>
          <w:rFonts w:ascii="Times New Roman" w:hAnsi="Times New Roman"/>
          <w:b/>
          <w:bCs/>
          <w:sz w:val="24"/>
          <w:lang w:val="pt-PT"/>
        </w:rPr>
        <w:tab/>
      </w:r>
      <w:r>
        <w:rPr>
          <w:rFonts w:ascii="Times New Roman" w:hAnsi="Times New Roman"/>
          <w:b/>
          <w:bCs/>
          <w:sz w:val="24"/>
          <w:lang w:val="pt-PT"/>
        </w:rPr>
        <w:tab/>
      </w:r>
      <w:r>
        <w:rPr>
          <w:rFonts w:ascii="Times New Roman" w:hAnsi="Times New Roman"/>
          <w:b/>
          <w:bCs/>
          <w:sz w:val="24"/>
          <w:lang w:val="pt-PT"/>
        </w:rPr>
        <w:tab/>
      </w:r>
      <w:r>
        <w:rPr>
          <w:rFonts w:ascii="Times New Roman" w:hAnsi="Times New Roman"/>
          <w:b/>
          <w:bCs/>
          <w:sz w:val="24"/>
          <w:lang w:val="pt-PT"/>
        </w:rPr>
        <w:tab/>
      </w:r>
      <w:r>
        <w:rPr>
          <w:rFonts w:ascii="Times New Roman" w:hAnsi="Times New Roman"/>
          <w:b/>
          <w:bCs/>
          <w:sz w:val="24"/>
          <w:lang w:val="pt-PT"/>
        </w:rPr>
        <w:tab/>
      </w:r>
      <w:r>
        <w:rPr>
          <w:rFonts w:ascii="Times New Roman" w:hAnsi="Times New Roman"/>
          <w:b/>
          <w:bCs/>
          <w:sz w:val="24"/>
          <w:lang w:val="pt-PT"/>
        </w:rPr>
        <w:tab/>
      </w:r>
      <w:r>
        <w:rPr>
          <w:rFonts w:ascii="Times New Roman" w:hAnsi="Times New Roman"/>
          <w:b/>
          <w:bCs/>
          <w:sz w:val="24"/>
          <w:lang w:val="pt-PT"/>
        </w:rPr>
        <w:tab/>
      </w:r>
      <w:r>
        <w:rPr>
          <w:rFonts w:ascii="Times New Roman" w:hAnsi="Times New Roman"/>
          <w:b/>
          <w:bCs/>
          <w:sz w:val="24"/>
          <w:lang w:val="pt-PT"/>
        </w:rPr>
        <w:tab/>
      </w:r>
      <w:r>
        <w:rPr>
          <w:rFonts w:ascii="Times New Roman" w:hAnsi="Times New Roman"/>
          <w:b/>
          <w:bCs/>
          <w:sz w:val="24"/>
          <w:lang w:val="pt-PT"/>
        </w:rPr>
        <w:t xml:space="preserve">         </w:t>
      </w:r>
    </w:p>
    <w:p>
      <w:pPr>
        <w:tabs>
          <w:tab w:val="left" w:pos="1985"/>
        </w:tabs>
        <w:ind w:left="1980" w:hanging="1946"/>
        <w:rPr>
          <w:b/>
          <w:bCs/>
          <w:sz w:val="24"/>
          <w:lang w:val="en-US" w:eastAsia="zh-CN"/>
        </w:rPr>
      </w:pPr>
      <w:r>
        <w:rPr>
          <w:b/>
          <w:bCs/>
          <w:sz w:val="24"/>
        </w:rPr>
        <w:t xml:space="preserve">Source: </w:t>
      </w:r>
      <w:r>
        <w:rPr>
          <w:b/>
          <w:bCs/>
          <w:sz w:val="24"/>
        </w:rPr>
        <w:tab/>
      </w:r>
      <w:r>
        <w:rPr>
          <w:b/>
          <w:bCs/>
          <w:sz w:val="24"/>
          <w:lang w:val="en-US" w:eastAsia="zh-CN"/>
        </w:rPr>
        <w:t>China Unicom</w:t>
      </w:r>
      <w:r>
        <w:rPr>
          <w:b/>
          <w:bCs/>
          <w:sz w:val="24"/>
        </w:rPr>
        <w:t xml:space="preserve"> (WI Rapporteur)</w:t>
      </w:r>
    </w:p>
    <w:p>
      <w:pPr>
        <w:tabs>
          <w:tab w:val="left" w:pos="1985"/>
        </w:tabs>
        <w:spacing w:after="240" w:afterLines="100"/>
        <w:ind w:left="1980" w:hanging="1980"/>
        <w:rPr>
          <w:b/>
          <w:bCs/>
          <w:sz w:val="32"/>
          <w:lang w:eastAsia="zh-CN"/>
        </w:rPr>
      </w:pPr>
      <w:r>
        <w:rPr>
          <w:b/>
          <w:bCs/>
          <w:sz w:val="24"/>
        </w:rPr>
        <w:t xml:space="preserve">Title: </w:t>
      </w:r>
      <w:r>
        <w:rPr>
          <w:b/>
          <w:bCs/>
          <w:sz w:val="24"/>
        </w:rPr>
        <w:tab/>
      </w:r>
      <w:r>
        <w:rPr>
          <w:rFonts w:hint="eastAsia"/>
          <w:b/>
          <w:bCs/>
          <w:sz w:val="24"/>
          <w:lang w:val="en-US" w:eastAsia="zh-CN"/>
        </w:rPr>
        <w:t xml:space="preserve">Update </w:t>
      </w:r>
      <w:r>
        <w:rPr>
          <w:b/>
          <w:bCs/>
          <w:sz w:val="24"/>
        </w:rPr>
        <w:t xml:space="preserve">Workplan for Rel-18 </w:t>
      </w:r>
      <w:r>
        <w:rPr>
          <w:b/>
          <w:bCs/>
          <w:sz w:val="24"/>
          <w:lang w:val="en-US" w:eastAsia="zh-CN"/>
        </w:rPr>
        <w:t>NR QoE Enhancement</w:t>
      </w:r>
      <w:r>
        <w:rPr>
          <w:b/>
          <w:bCs/>
          <w:sz w:val="24"/>
        </w:rPr>
        <w:t xml:space="preserve"> </w:t>
      </w:r>
    </w:p>
    <w:p>
      <w:pPr>
        <w:tabs>
          <w:tab w:val="left" w:pos="1985"/>
        </w:tabs>
        <w:spacing w:after="240" w:afterLines="100"/>
        <w:ind w:left="1980" w:hanging="1980"/>
        <w:rPr>
          <w:b/>
          <w:bCs/>
          <w:sz w:val="24"/>
          <w:lang w:eastAsia="ja-JP"/>
        </w:rPr>
      </w:pPr>
      <w:r>
        <w:rPr>
          <w:b/>
          <w:bCs/>
          <w:sz w:val="24"/>
        </w:rPr>
        <w:t>Document for:</w:t>
      </w:r>
      <w:r>
        <w:rPr>
          <w:b/>
          <w:bCs/>
          <w:sz w:val="24"/>
        </w:rPr>
        <w:tab/>
      </w:r>
      <w:r>
        <w:rPr>
          <w:b/>
          <w:bCs/>
          <w:sz w:val="24"/>
        </w:rPr>
        <w:t>Information</w:t>
      </w:r>
    </w:p>
    <w:p>
      <w:pPr>
        <w:pStyle w:val="2"/>
      </w:pPr>
      <w:r>
        <w:t>1</w:t>
      </w:r>
      <w:r>
        <w:tab/>
      </w:r>
      <w:r>
        <w:t>Introduction</w:t>
      </w:r>
    </w:p>
    <w:p>
      <w:r>
        <w:t>At RAN#9</w:t>
      </w:r>
      <w:r>
        <w:rPr>
          <w:rFonts w:hint="eastAsia"/>
          <w:lang w:val="en-US" w:eastAsia="zh-CN"/>
        </w:rPr>
        <w:t>6</w:t>
      </w:r>
      <w:r>
        <w:t xml:space="preserve">, the </w:t>
      </w:r>
      <w:r>
        <w:rPr>
          <w:rFonts w:hint="eastAsia"/>
          <w:lang w:val="en-US" w:eastAsia="zh-CN"/>
        </w:rPr>
        <w:t xml:space="preserve">revised </w:t>
      </w:r>
      <w:r>
        <w:t xml:space="preserve">Work Item on </w:t>
      </w:r>
      <w:r>
        <w:rPr>
          <w:rFonts w:hint="eastAsia"/>
          <w:lang w:val="en-US" w:eastAsia="zh-CN"/>
        </w:rPr>
        <w:t xml:space="preserve">NR QoE enhancement </w:t>
      </w:r>
      <w:r>
        <w:t>was agreed [1]. As WI Rapporteur, in this contribution, we recommend a work plan for RAN2</w:t>
      </w:r>
      <w:r>
        <w:rPr>
          <w:rFonts w:hint="eastAsia"/>
          <w:lang w:val="en-US" w:eastAsia="zh-CN"/>
        </w:rPr>
        <w:t xml:space="preserve"> and</w:t>
      </w:r>
      <w:r>
        <w:t xml:space="preserve"> RAN3. The workplan captures dependenc</w:t>
      </w:r>
      <w:r>
        <w:rPr>
          <w:rFonts w:hint="eastAsia"/>
          <w:lang w:val="en-US" w:eastAsia="zh-CN"/>
        </w:rPr>
        <w:t>i</w:t>
      </w:r>
      <w:r>
        <w:t>es among tasks and timeline for RAN2/3.</w:t>
      </w:r>
    </w:p>
    <w:p>
      <w:pPr>
        <w:spacing w:after="0"/>
      </w:pPr>
      <w:r>
        <w:t xml:space="preserve">The WID [1] introduced the following objectives in the core part: </w:t>
      </w:r>
    </w:p>
    <w:p>
      <w:pPr>
        <w:spacing w:after="0"/>
      </w:pPr>
    </w:p>
    <w:tbl>
      <w:tblPr>
        <w:tblStyle w:val="2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7" w:type="dxa"/>
            <w:shd w:val="clear" w:color="auto" w:fill="auto"/>
          </w:tcPr>
          <w:p>
            <w:pPr>
              <w:pStyle w:val="70"/>
              <w:spacing w:line="240" w:lineRule="auto"/>
              <w:ind w:firstLine="0" w:firstLineChars="0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The detailed objectives of the WI are listed as follows:</w:t>
            </w:r>
          </w:p>
          <w:p>
            <w:pPr>
              <w:numPr>
                <w:ilvl w:val="0"/>
                <w:numId w:val="3"/>
              </w:numPr>
              <w:spacing w:before="120" w:beforeLines="50" w:after="0"/>
              <w:jc w:val="both"/>
              <w:rPr>
                <w:bCs/>
                <w:lang w:eastAsia="zh-CN"/>
              </w:rPr>
            </w:pPr>
            <w:r>
              <w:t>Support for new service type, such as AR, MR, MBS and other new service type defined or to be supported by SA4. Support RAN-visible parameters for</w:t>
            </w:r>
            <w:r>
              <w:rPr>
                <w:rFonts w:hint="eastAsia"/>
                <w:lang w:val="en-US" w:eastAsia="zh-CN"/>
              </w:rPr>
              <w:t xml:space="preserve"> the </w:t>
            </w:r>
            <w:r>
              <w:t>additional service types</w:t>
            </w:r>
            <w:r>
              <w:rPr>
                <w:rFonts w:hint="eastAsia"/>
                <w:lang w:val="en-US" w:eastAsia="zh-CN"/>
              </w:rPr>
              <w:t>, and</w:t>
            </w:r>
            <w:r>
              <w:t xml:space="preserve"> </w:t>
            </w:r>
            <w:r>
              <w:rPr>
                <w:rFonts w:hint="eastAsia"/>
                <w:lang w:val="en-US" w:eastAsia="zh-CN"/>
              </w:rPr>
              <w:t>the existing service if needed</w:t>
            </w:r>
            <w:r>
              <w:t>, and the coordination with SA4 is needed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bCs/>
              </w:rPr>
              <w:t>[RAN3, RAN2].</w:t>
            </w:r>
          </w:p>
          <w:p>
            <w:pPr>
              <w:numPr>
                <w:ilvl w:val="0"/>
                <w:numId w:val="4"/>
              </w:numPr>
              <w:spacing w:after="0"/>
              <w:rPr>
                <w:bCs/>
                <w:lang w:eastAsia="zh-CN"/>
              </w:rPr>
            </w:pPr>
            <w:r>
              <w:rPr>
                <w:rFonts w:hint="eastAsia"/>
                <w:bCs/>
                <w:lang w:val="en-US" w:eastAsia="zh-CN"/>
              </w:rPr>
              <w:t xml:space="preserve">Specify the new service and the existing service </w:t>
            </w:r>
            <w:r>
              <w:t>defined or to be supported by SA4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rFonts w:hint="eastAsia"/>
                <w:bCs/>
                <w:lang w:val="en-US" w:eastAsia="zh-CN"/>
              </w:rPr>
              <w:t xml:space="preserve"> combined with high mobility scenarios, e.g., </w:t>
            </w:r>
            <w:r>
              <w:t>High Speed Trains.</w:t>
            </w:r>
          </w:p>
          <w:p>
            <w:pPr>
              <w:numPr>
                <w:ilvl w:val="0"/>
                <w:numId w:val="3"/>
              </w:numPr>
              <w:spacing w:before="120" w:beforeLines="50" w:after="0"/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Specify for QoE measurement</w:t>
            </w:r>
            <w:r>
              <w:rPr>
                <w:rFonts w:hint="eastAsia"/>
                <w:bCs/>
                <w:lang w:val="en-US" w:eastAsia="zh-CN"/>
              </w:rPr>
              <w:t xml:space="preserve"> configuration and</w:t>
            </w:r>
            <w:r>
              <w:rPr>
                <w:bCs/>
                <w:lang w:eastAsia="zh-CN"/>
              </w:rPr>
              <w:t xml:space="preserve"> collection </w:t>
            </w:r>
            <w:r>
              <w:rPr>
                <w:rFonts w:hint="eastAsia"/>
                <w:bCs/>
                <w:lang w:val="en-US" w:eastAsia="zh-CN"/>
              </w:rPr>
              <w:t>in RRC_INACTIVE and RRC_IDLE states</w:t>
            </w:r>
            <w:r>
              <w:rPr>
                <w:bCs/>
                <w:lang w:eastAsia="zh-CN"/>
              </w:rPr>
              <w:t xml:space="preserve"> </w:t>
            </w:r>
            <w:r>
              <w:rPr>
                <w:rFonts w:hint="eastAsia"/>
                <w:bCs/>
                <w:lang w:val="en-US" w:eastAsia="zh-CN"/>
              </w:rPr>
              <w:t xml:space="preserve">for MBS, at least </w:t>
            </w:r>
            <w:r>
              <w:rPr>
                <w:bCs/>
                <w:lang w:eastAsia="zh-CN"/>
              </w:rPr>
              <w:t xml:space="preserve">for </w:t>
            </w:r>
            <w:r>
              <w:rPr>
                <w:rFonts w:hint="eastAsia"/>
                <w:bCs/>
                <w:lang w:val="en-US" w:eastAsia="zh-CN"/>
              </w:rPr>
              <w:t xml:space="preserve">broadcast </w:t>
            </w:r>
            <w:r>
              <w:rPr>
                <w:bCs/>
                <w:lang w:eastAsia="zh-CN"/>
              </w:rPr>
              <w:t>service</w:t>
            </w:r>
            <w:r>
              <w:rPr>
                <w:bCs/>
                <w:lang w:val="en-US" w:eastAsia="zh-CN"/>
              </w:rPr>
              <w:t xml:space="preserve"> </w:t>
            </w:r>
            <w:r>
              <w:rPr>
                <w:bCs/>
              </w:rPr>
              <w:t>[RAN3, RAN2]</w:t>
            </w:r>
            <w:r>
              <w:rPr>
                <w:bCs/>
                <w:lang w:eastAsia="zh-CN"/>
              </w:rPr>
              <w:t>.</w:t>
            </w:r>
          </w:p>
          <w:p>
            <w:pPr>
              <w:numPr>
                <w:ilvl w:val="0"/>
                <w:numId w:val="4"/>
              </w:numPr>
              <w:spacing w:after="0"/>
              <w:rPr>
                <w:bCs/>
                <w:lang w:val="en-US" w:eastAsia="zh-CN"/>
              </w:rPr>
            </w:pPr>
            <w:r>
              <w:rPr>
                <w:bCs/>
                <w:lang w:eastAsia="zh-CN"/>
              </w:rPr>
              <w:t xml:space="preserve">Specify the mechanism to support the alignment of </w:t>
            </w:r>
            <w:r>
              <w:rPr>
                <w:rFonts w:hint="eastAsia"/>
                <w:bCs/>
                <w:lang w:val="en-US" w:eastAsia="zh-CN"/>
              </w:rPr>
              <w:t xml:space="preserve">the existing </w:t>
            </w:r>
            <w:r>
              <w:rPr>
                <w:bCs/>
                <w:lang w:eastAsia="zh-CN"/>
              </w:rPr>
              <w:t>radio related measurement and QoE reporting.</w:t>
            </w:r>
          </w:p>
          <w:p>
            <w:pPr>
              <w:numPr>
                <w:ilvl w:val="0"/>
                <w:numId w:val="3"/>
              </w:numPr>
              <w:spacing w:before="120" w:beforeLines="50" w:after="0"/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Specify to support for QoE in NR-DC</w:t>
            </w:r>
            <w:r>
              <w:rPr>
                <w:rFonts w:hint="eastAsia"/>
                <w:bCs/>
                <w:lang w:eastAsia="zh-CN"/>
              </w:rPr>
              <w:t>, e.g. enable QoE reporting via SN</w:t>
            </w:r>
            <w:r>
              <w:rPr>
                <w:bCs/>
                <w:lang w:eastAsia="zh-CN"/>
              </w:rPr>
              <w:t xml:space="preserve"> [RAN3, RAN2].</w:t>
            </w:r>
          </w:p>
          <w:p>
            <w:pPr>
              <w:numPr>
                <w:ilvl w:val="0"/>
                <w:numId w:val="4"/>
              </w:numPr>
              <w:spacing w:after="0"/>
              <w:ind w:left="720" w:hanging="360"/>
              <w:rPr>
                <w:bCs/>
                <w:lang w:eastAsia="zh-CN"/>
              </w:rPr>
            </w:pPr>
            <w:r>
              <w:t>Specify the QoE configuration,</w:t>
            </w:r>
            <w:r>
              <w:rPr>
                <w:rFonts w:hint="eastAsia"/>
                <w:lang w:val="en-US" w:eastAsia="zh-CN"/>
              </w:rPr>
              <w:t xml:space="preserve"> and</w:t>
            </w:r>
            <w:r>
              <w:t xml:space="preserve"> measurement reporting over MN/SN for NR-DC architecture, and specify the QoE measurement reporting over the other DC leg </w:t>
            </w:r>
            <w:r>
              <w:rPr>
                <w:rFonts w:hint="eastAsia"/>
                <w:lang w:val="en-US" w:eastAsia="zh-CN"/>
              </w:rPr>
              <w:t>in order to maintain the reporting continuity</w:t>
            </w:r>
            <w:r>
              <w:t>.</w:t>
            </w:r>
          </w:p>
          <w:p>
            <w:pPr>
              <w:spacing w:after="0"/>
              <w:ind w:left="72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1: The QoE measurements are not perform</w:t>
            </w:r>
            <w:r>
              <w:rPr>
                <w:rFonts w:hint="eastAsia"/>
                <w:bCs/>
                <w:lang w:val="en-US" w:eastAsia="zh-CN"/>
              </w:rPr>
              <w:t>ed separately</w:t>
            </w:r>
            <w:r>
              <w:rPr>
                <w:bCs/>
                <w:lang w:eastAsia="zh-CN"/>
              </w:rPr>
              <w:t xml:space="preserve"> for </w:t>
            </w:r>
            <w:r>
              <w:rPr>
                <w:rFonts w:hint="eastAsia"/>
                <w:bCs/>
                <w:lang w:val="en-US" w:eastAsia="zh-CN"/>
              </w:rPr>
              <w:t xml:space="preserve">each </w:t>
            </w:r>
            <w:r>
              <w:rPr>
                <w:bCs/>
                <w:lang w:eastAsia="zh-CN"/>
              </w:rPr>
              <w:t>leg.</w:t>
            </w:r>
          </w:p>
          <w:p>
            <w:pPr>
              <w:numPr>
                <w:ilvl w:val="0"/>
                <w:numId w:val="4"/>
              </w:numPr>
              <w:spacing w:after="0"/>
              <w:ind w:left="720" w:hanging="36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Support RAN-visible </w:t>
            </w:r>
            <w:r>
              <w:rPr>
                <w:rFonts w:hint="eastAsia"/>
                <w:bCs/>
                <w:lang w:val="en-US" w:eastAsia="zh-CN"/>
              </w:rPr>
              <w:t xml:space="preserve">QoE </w:t>
            </w:r>
            <w:r>
              <w:rPr>
                <w:bCs/>
                <w:lang w:eastAsia="zh-CN"/>
              </w:rPr>
              <w:t>and radio related measurement configuration and reporting in NR-DC scenarios.</w:t>
            </w:r>
          </w:p>
          <w:p>
            <w:pPr>
              <w:numPr>
                <w:ilvl w:val="0"/>
                <w:numId w:val="4"/>
              </w:numPr>
              <w:spacing w:after="0"/>
              <w:ind w:left="720" w:hanging="360"/>
              <w:rPr>
                <w:bCs/>
                <w:lang w:eastAsia="zh-CN"/>
              </w:rPr>
            </w:pPr>
            <w:r>
              <w:t>Specify the QoE measurement continuity in mobility scenarios in NR-DC</w:t>
            </w:r>
            <w:r>
              <w:rPr>
                <w:bCs/>
                <w:lang w:eastAsia="zh-CN"/>
              </w:rPr>
              <w:t>.</w:t>
            </w:r>
          </w:p>
          <w:p>
            <w:pPr>
              <w:numPr>
                <w:ilvl w:val="0"/>
                <w:numId w:val="4"/>
              </w:numPr>
              <w:spacing w:after="0"/>
              <w:ind w:left="720" w:hanging="360"/>
              <w:rPr>
                <w:bCs/>
                <w:lang w:eastAsia="zh-CN"/>
              </w:rPr>
            </w:pPr>
            <w:r>
              <w:t>Specify the alignment of QoE</w:t>
            </w:r>
            <w:r>
              <w:rPr>
                <w:rFonts w:hint="eastAsia"/>
                <w:lang w:val="en-US" w:eastAsia="zh-CN"/>
              </w:rPr>
              <w:t xml:space="preserve"> measurements (including legacy QoE and RAN visible QoE measurements)</w:t>
            </w:r>
            <w:r>
              <w:t xml:space="preserve"> and radio related measurement in NR-DC</w:t>
            </w:r>
            <w:r>
              <w:rPr>
                <w:bCs/>
                <w:lang w:eastAsia="zh-CN"/>
              </w:rPr>
              <w:t>.</w:t>
            </w:r>
          </w:p>
          <w:p>
            <w:pPr>
              <w:numPr>
                <w:ilvl w:val="0"/>
                <w:numId w:val="3"/>
              </w:numPr>
              <w:spacing w:before="120" w:beforeLines="50" w:after="0"/>
              <w:jc w:val="both"/>
              <w:rPr>
                <w:bCs/>
                <w:lang w:val="en-US" w:eastAsia="zh-CN"/>
              </w:rPr>
            </w:pPr>
            <w:r>
              <w:rPr>
                <w:rFonts w:hint="eastAsia"/>
                <w:lang w:eastAsia="zh-CN"/>
              </w:rPr>
              <w:t>Left-over features</w:t>
            </w:r>
            <w:r>
              <w:rPr>
                <w:rFonts w:hint="eastAsia"/>
                <w:lang w:val="en-US" w:eastAsia="zh-CN"/>
              </w:rPr>
              <w:t xml:space="preserve"> from Rel-17, as well as the enhancements of existing features which are not included in Rel-17 normative phase, should be </w:t>
            </w:r>
            <w:r>
              <w:rPr>
                <w:lang w:val="en-US" w:eastAsia="zh-CN"/>
              </w:rPr>
              <w:t>supported</w:t>
            </w:r>
            <w:r>
              <w:rPr>
                <w:rFonts w:hint="eastAsia"/>
                <w:lang w:val="en-US" w:eastAsia="zh-CN"/>
              </w:rPr>
              <w:t xml:space="preserve"> in Rel-18 </w:t>
            </w:r>
            <w:r>
              <w:rPr>
                <w:lang w:val="en-US" w:eastAsia="zh-CN"/>
              </w:rPr>
              <w:t>if consensus on benefits are reached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[</w:t>
            </w:r>
            <w:r>
              <w:rPr>
                <w:rFonts w:hint="eastAsia"/>
                <w:lang w:val="en-US" w:eastAsia="zh-CN"/>
              </w:rPr>
              <w:t>RAN3</w:t>
            </w:r>
            <w:r>
              <w:rPr>
                <w:rFonts w:hint="eastAsia"/>
                <w:lang w:eastAsia="zh-CN"/>
              </w:rPr>
              <w:t>, RAN2].</w:t>
            </w:r>
          </w:p>
          <w:p>
            <w:pPr>
              <w:numPr>
                <w:ilvl w:val="0"/>
                <w:numId w:val="4"/>
              </w:numPr>
              <w:spacing w:after="0"/>
              <w:rPr>
                <w:bCs/>
                <w:lang w:val="en-US" w:eastAsia="zh-CN"/>
              </w:rPr>
            </w:pPr>
            <w:r>
              <w:rPr>
                <w:bCs/>
                <w:lang w:val="en-US" w:eastAsia="zh-CN"/>
              </w:rPr>
              <w:t>Specify per-slice QoE measurement configuration enhancement.</w:t>
            </w:r>
          </w:p>
          <w:p>
            <w:pPr>
              <w:numPr>
                <w:ilvl w:val="0"/>
                <w:numId w:val="4"/>
              </w:numPr>
              <w:spacing w:after="0"/>
              <w:rPr>
                <w:bCs/>
                <w:lang w:val="en-US" w:eastAsia="zh-CN"/>
              </w:rPr>
            </w:pPr>
            <w:r>
              <w:rPr>
                <w:bCs/>
                <w:lang w:val="en-US" w:eastAsia="zh-CN"/>
              </w:rPr>
              <w:t>Specify RAN visible QoE enhancements for QoE value, RAN visible QoE trigger event</w:t>
            </w:r>
            <w:r>
              <w:rPr>
                <w:rFonts w:hint="eastAsia"/>
                <w:bCs/>
                <w:lang w:val="en-US" w:eastAsia="zh-CN"/>
              </w:rPr>
              <w:t xml:space="preserve">, </w:t>
            </w:r>
            <w:r>
              <w:rPr>
                <w:bCs/>
                <w:lang w:val="en-US" w:eastAsia="zh-CN"/>
              </w:rPr>
              <w:t>RAN visible QoE Report over F1.</w:t>
            </w:r>
          </w:p>
          <w:p>
            <w:pPr>
              <w:numPr>
                <w:ilvl w:val="0"/>
                <w:numId w:val="4"/>
              </w:numPr>
              <w:spacing w:after="0"/>
              <w:rPr>
                <w:bCs/>
                <w:lang w:val="en-US" w:eastAsia="zh-CN"/>
              </w:rPr>
            </w:pPr>
            <w:r>
              <w:rPr>
                <w:bCs/>
                <w:lang w:val="en-US" w:eastAsia="zh-CN"/>
              </w:rPr>
              <w:t xml:space="preserve">Specify QoE reporting handling enhancement for </w:t>
            </w:r>
            <w:r>
              <w:rPr>
                <w:bCs/>
                <w:lang w:val="en-US" w:eastAsia="zh-CN" w:bidi="ar"/>
              </w:rPr>
              <w:t xml:space="preserve">overload </w:t>
            </w:r>
            <w:r>
              <w:rPr>
                <w:bCs/>
                <w:lang w:val="en-US" w:eastAsia="zh-CN"/>
              </w:rPr>
              <w:t>scenario</w:t>
            </w:r>
            <w:r>
              <w:rPr>
                <w:bCs/>
                <w:lang w:val="en-US" w:eastAsia="zh-CN" w:bidi="ar"/>
              </w:rPr>
              <w:t>.</w:t>
            </w:r>
          </w:p>
          <w:p>
            <w:pPr>
              <w:numPr>
                <w:ilvl w:val="0"/>
                <w:numId w:val="3"/>
              </w:numPr>
              <w:spacing w:before="120" w:beforeLines="50" w:after="0"/>
              <w:jc w:val="both"/>
              <w:rPr>
                <w:bCs/>
                <w:lang w:eastAsia="zh-CN"/>
              </w:rPr>
            </w:pPr>
            <w:r>
              <w:t>Support the continuity of</w:t>
            </w:r>
            <w:r>
              <w:rPr>
                <w:rFonts w:hint="eastAsia"/>
                <w:lang w:val="en-US" w:eastAsia="zh-CN"/>
              </w:rPr>
              <w:t xml:space="preserve"> legacy</w:t>
            </w:r>
            <w:r>
              <w:t xml:space="preserve"> QoE measurement job</w:t>
            </w:r>
            <w:r>
              <w:rPr>
                <w:rFonts w:hint="eastAsia"/>
                <w:lang w:val="en-US" w:eastAsia="zh-CN"/>
              </w:rPr>
              <w:t xml:space="preserve"> for </w:t>
            </w:r>
            <w:r>
              <w:rPr>
                <w:rFonts w:hint="eastAsia"/>
              </w:rPr>
              <w:t>streaming and MTSI service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during</w:t>
            </w:r>
            <w:r>
              <w:rPr>
                <w:rFonts w:hint="eastAsia"/>
                <w:lang w:val="en-US" w:eastAsia="zh-CN"/>
              </w:rPr>
              <w:t xml:space="preserve"> intra-5GC</w:t>
            </w:r>
            <w:r>
              <w:t xml:space="preserve"> inter-RAT handover process</w:t>
            </w:r>
            <w:r>
              <w:rPr>
                <w:bCs/>
              </w:rPr>
              <w:t xml:space="preserve"> [RAN</w:t>
            </w:r>
            <w:r>
              <w:rPr>
                <w:rFonts w:hint="eastAsia"/>
                <w:bCs/>
                <w:lang w:val="en-US" w:eastAsia="zh-CN"/>
              </w:rPr>
              <w:t>2</w:t>
            </w:r>
            <w:r>
              <w:rPr>
                <w:bCs/>
              </w:rPr>
              <w:t>, RAN</w:t>
            </w:r>
            <w:r>
              <w:rPr>
                <w:rFonts w:hint="eastAsia"/>
                <w:bCs/>
                <w:lang w:val="en-US" w:eastAsia="zh-CN"/>
              </w:rPr>
              <w:t>3]</w:t>
            </w:r>
            <w:r>
              <w:t>.</w:t>
            </w:r>
          </w:p>
          <w:p>
            <w:pPr>
              <w:spacing w:before="120" w:beforeLines="50" w:after="120" w:afterLines="50"/>
              <w:jc w:val="both"/>
            </w:pPr>
            <w:r>
              <w:t>Note</w:t>
            </w:r>
            <w:r>
              <w:rPr>
                <w:rFonts w:hint="eastAsia"/>
                <w:lang w:val="en-US" w:eastAsia="zh-CN"/>
              </w:rPr>
              <w:t xml:space="preserve"> 2</w:t>
            </w:r>
            <w:r>
              <w:t>: If needed, co-operate with other working groups, e.g. SA4/SA5/SA2/CT1.</w:t>
            </w:r>
          </w:p>
          <w:p>
            <w:pPr>
              <w:spacing w:before="120" w:beforeLines="50" w:after="120" w:afterLines="50"/>
              <w:jc w:val="both"/>
            </w:pPr>
            <w:r>
              <w:t>Note</w:t>
            </w:r>
            <w:r>
              <w:rPr>
                <w:rFonts w:hint="eastAsia"/>
                <w:lang w:val="en-US" w:eastAsia="zh-CN"/>
              </w:rPr>
              <w:t xml:space="preserve"> 3</w:t>
            </w:r>
            <w:r>
              <w:t>: Radio related measurement report</w:t>
            </w:r>
            <w:r>
              <w:rPr>
                <w:rFonts w:hint="eastAsia"/>
                <w:lang w:val="en-US" w:eastAsia="zh-CN"/>
              </w:rPr>
              <w:t>ing</w:t>
            </w:r>
            <w:r>
              <w:t xml:space="preserve"> should be specified in the SON/MDT WI.</w:t>
            </w:r>
          </w:p>
          <w:p>
            <w:pPr>
              <w:spacing w:before="120" w:beforeLines="50" w:after="120" w:afterLines="50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Note 4: When the support for QMC in NR-DC is completed, how to reuse the NR-DC solution for supporting QMC in EN-DC should be considered,</w:t>
            </w:r>
            <w:r>
              <w:rPr>
                <w:lang w:val="en-US" w:eastAsia="zh-CN"/>
              </w:rPr>
              <w:t xml:space="preserve"> if time permits.</w:t>
            </w:r>
          </w:p>
          <w:p>
            <w:pPr>
              <w:spacing w:before="120" w:beforeLines="50" w:after="120" w:afterLines="50"/>
              <w:jc w:val="both"/>
              <w:rPr>
                <w:highlight w:val="yellow"/>
                <w:lang w:val="en-US" w:eastAsia="zh-CN"/>
              </w:rPr>
            </w:pP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ote 5</w:t>
            </w:r>
            <w:r>
              <w:rPr>
                <w:lang w:val="en-US" w:eastAsia="zh-CN"/>
              </w:rPr>
              <w:t>: Specification of RAN visible QoE for XR related Service types shall take into account the outcome of XR SI and XR WI if applicable</w:t>
            </w:r>
            <w:r>
              <w:rPr>
                <w:rFonts w:hint="eastAsia"/>
                <w:lang w:val="en-US" w:eastAsia="zh-CN"/>
              </w:rPr>
              <w:t>.</w:t>
            </w:r>
          </w:p>
          <w:p>
            <w:pPr>
              <w:pStyle w:val="70"/>
              <w:spacing w:line="240" w:lineRule="auto"/>
              <w:ind w:firstLine="0" w:firstLineChars="0"/>
              <w:rPr>
                <w:rFonts w:eastAsia="Times New Roman" w:cs="Times New Roman"/>
                <w:sz w:val="18"/>
                <w:szCs w:val="18"/>
                <w:lang w:eastAsia="en-US"/>
              </w:rPr>
            </w:pPr>
          </w:p>
        </w:tc>
      </w:tr>
    </w:tbl>
    <w:p>
      <w:pPr>
        <w:spacing w:after="0"/>
      </w:pPr>
    </w:p>
    <w:p>
      <w:pPr>
        <w:pStyle w:val="2"/>
      </w:pPr>
      <w:r>
        <w:t>2</w:t>
      </w:r>
      <w:r>
        <w:tab/>
      </w:r>
      <w:r>
        <w:t>Workplan</w:t>
      </w:r>
    </w:p>
    <w:p>
      <w:pPr>
        <w:pStyle w:val="3"/>
      </w:pPr>
      <w:r>
        <w:t>2.2</w:t>
      </w:r>
      <w:r>
        <w:tab/>
      </w:r>
      <w:r>
        <w:t>Timeline</w:t>
      </w:r>
    </w:p>
    <w:p>
      <w:r>
        <w:t>Table 1 summarizes a timeline for RAN2/3. This timeline is based on RP-221060 [2].</w:t>
      </w:r>
    </w:p>
    <w:p>
      <w:pPr>
        <w:jc w:val="center"/>
        <w:rPr>
          <w:b/>
        </w:rPr>
      </w:pPr>
      <w:r>
        <w:rPr>
          <w:b/>
        </w:rPr>
        <w:t>Table 1: Timeline for RAN2, 3</w:t>
      </w:r>
      <w:r>
        <w:rPr>
          <w:rFonts w:hint="eastAsia"/>
          <w:b/>
          <w:lang w:val="en-US" w:eastAsia="zh-CN"/>
        </w:rPr>
        <w:t xml:space="preserve"> </w:t>
      </w:r>
      <w:r>
        <w:rPr>
          <w:b/>
        </w:rPr>
        <w:t>efforts</w:t>
      </w:r>
    </w:p>
    <w:tbl>
      <w:tblPr>
        <w:tblStyle w:val="26"/>
        <w:tblW w:w="98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8"/>
        <w:gridCol w:w="1037"/>
        <w:gridCol w:w="1170"/>
        <w:gridCol w:w="1080"/>
        <w:gridCol w:w="54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028" w:type="dxa"/>
            <w:tcBorders>
              <w:bottom w:val="single" w:color="auto" w:sz="4" w:space="0"/>
            </w:tcBorders>
            <w:shd w:val="clear" w:color="auto" w:fill="D8D8D8" w:themeFill="background1" w:themeFillShade="D9"/>
          </w:tcPr>
          <w:p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TSG/WG</w:t>
            </w:r>
          </w:p>
        </w:tc>
        <w:tc>
          <w:tcPr>
            <w:tcW w:w="1037" w:type="dxa"/>
            <w:tcBorders>
              <w:bottom w:val="single" w:color="auto" w:sz="4" w:space="0"/>
            </w:tcBorders>
            <w:shd w:val="clear" w:color="auto" w:fill="D8D8D8" w:themeFill="background1" w:themeFillShade="D9"/>
          </w:tcPr>
          <w:p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Meeting Number</w:t>
            </w:r>
          </w:p>
        </w:tc>
        <w:tc>
          <w:tcPr>
            <w:tcW w:w="1170" w:type="dxa"/>
            <w:tcBorders>
              <w:bottom w:val="single" w:color="auto" w:sz="4" w:space="0"/>
            </w:tcBorders>
            <w:shd w:val="clear" w:color="auto" w:fill="D8D8D8" w:themeFill="background1" w:themeFillShade="D9"/>
          </w:tcPr>
          <w:p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Date</w:t>
            </w:r>
          </w:p>
        </w:tc>
        <w:tc>
          <w:tcPr>
            <w:tcW w:w="1080" w:type="dxa"/>
            <w:tcBorders>
              <w:bottom w:val="single" w:color="auto" w:sz="4" w:space="0"/>
            </w:tcBorders>
            <w:shd w:val="clear" w:color="auto" w:fill="D8D8D8" w:themeFill="background1" w:themeFillShade="D9"/>
          </w:tcPr>
          <w:p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TU</w:t>
            </w:r>
          </w:p>
        </w:tc>
        <w:tc>
          <w:tcPr>
            <w:tcW w:w="5490" w:type="dxa"/>
            <w:tcBorders>
              <w:bottom w:val="single" w:color="auto" w:sz="4" w:space="0"/>
            </w:tcBorders>
            <w:shd w:val="clear" w:color="auto" w:fill="D8D8D8" w:themeFill="background1" w:themeFillShade="D9"/>
          </w:tcPr>
          <w:p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Task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CCFFFF"/>
          </w:tcPr>
          <w:p>
            <w:pPr>
              <w:spacing w:before="60" w:after="60"/>
            </w:pPr>
            <w:r>
              <w:t>RAN2</w:t>
            </w:r>
          </w:p>
        </w:tc>
        <w:tc>
          <w:tcPr>
            <w:tcW w:w="1037" w:type="dxa"/>
            <w:shd w:val="clear" w:color="auto" w:fill="CCFFFF"/>
          </w:tcPr>
          <w:p>
            <w:pPr>
              <w:spacing w:before="60" w:after="60"/>
            </w:pPr>
            <w:r>
              <w:t>#119bis-e</w:t>
            </w:r>
          </w:p>
        </w:tc>
        <w:tc>
          <w:tcPr>
            <w:tcW w:w="1170" w:type="dxa"/>
            <w:shd w:val="clear" w:color="auto" w:fill="CCFFFF"/>
          </w:tcPr>
          <w:p>
            <w:pPr>
              <w:spacing w:before="60" w:after="60"/>
            </w:pPr>
            <w:r>
              <w:t>Oct 2022</w:t>
            </w:r>
          </w:p>
        </w:tc>
        <w:tc>
          <w:tcPr>
            <w:tcW w:w="1080" w:type="dxa"/>
            <w:shd w:val="clear" w:color="auto" w:fill="CCFFFF"/>
          </w:tcPr>
          <w:p>
            <w:pPr>
              <w:spacing w:before="60" w:after="60"/>
              <w:jc w:val="center"/>
            </w:pPr>
            <w:r>
              <w:t>0.5</w:t>
            </w:r>
          </w:p>
        </w:tc>
        <w:tc>
          <w:tcPr>
            <w:tcW w:w="5490" w:type="dxa"/>
            <w:shd w:val="clear" w:color="auto" w:fill="CCFFFF"/>
          </w:tcPr>
          <w:p>
            <w:pPr>
              <w:spacing w:before="60" w:after="60"/>
            </w:pPr>
            <w:r>
              <w:rPr>
                <w:rFonts w:hint="eastAsia"/>
                <w:lang w:val="en-US" w:eastAsia="zh-CN"/>
              </w:rPr>
              <w:t xml:space="preserve">Continue stage-2 and stage-3 discussion and try to make the decision on: </w:t>
            </w:r>
          </w:p>
          <w:p>
            <w:pPr>
              <w:spacing w:before="60" w:after="60"/>
            </w:pPr>
            <w:r>
              <w:t>1</w:t>
            </w:r>
            <w:r>
              <w:rPr>
                <w:rFonts w:hint="eastAsia"/>
              </w:rPr>
              <w:t>. Left-over features from Rel-17, as well as the enhancements of existing features which are not included in Rel-17 normative phase, should be supported in Rel-18 if consensus on benefits are reached:</w:t>
            </w:r>
          </w:p>
          <w:p>
            <w:pPr>
              <w:spacing w:before="60" w:after="60"/>
            </w:pPr>
            <w:r>
              <w:rPr>
                <w:rFonts w:hint="eastAsia"/>
              </w:rPr>
              <w:t>- RAN visible QoE enhancements for QoE value, RAN visible QoE trigger event</w:t>
            </w:r>
          </w:p>
          <w:p>
            <w:pPr>
              <w:spacing w:before="60" w:after="60"/>
              <w:rPr>
                <w:lang w:eastAsia="zh-CN"/>
              </w:rPr>
            </w:pPr>
            <w:r>
              <w:rPr>
                <w:lang w:eastAsia="zh-CN"/>
              </w:rPr>
              <w:t xml:space="preserve">2. Based on the RAN3 progress, support QoE </w:t>
            </w:r>
            <w:r>
              <w:rPr>
                <w:rFonts w:hint="eastAsia"/>
                <w:lang w:val="en-US" w:eastAsia="zh-CN"/>
              </w:rPr>
              <w:t>for</w:t>
            </w:r>
            <w:r>
              <w:rPr>
                <w:lang w:eastAsia="zh-CN"/>
              </w:rPr>
              <w:t xml:space="preserve"> NR-DC in RAN2, e.g. enable QoE reporting via SN.</w:t>
            </w:r>
          </w:p>
          <w:p>
            <w:pPr>
              <w:spacing w:before="60" w:after="60"/>
              <w:rPr>
                <w:lang w:eastAsia="zh-CN"/>
              </w:rPr>
            </w:pPr>
            <w:r>
              <w:t>3. Coordinate with other working groups e.g. RAN3</w:t>
            </w:r>
            <w:r>
              <w:rPr>
                <w:rFonts w:hint="eastAsia"/>
                <w:lang w:eastAsia="zh-CN"/>
              </w:rPr>
              <w:t>/</w:t>
            </w:r>
            <w:r>
              <w:t>SA4/SA5/SA2/CT1, and send the LS if needed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FFD965" w:themeFill="accent4" w:themeFillTint="99"/>
          </w:tcPr>
          <w:p>
            <w:pPr>
              <w:spacing w:before="60" w:after="60"/>
            </w:pPr>
            <w:r>
              <w:t>RAN3</w:t>
            </w:r>
          </w:p>
        </w:tc>
        <w:tc>
          <w:tcPr>
            <w:tcW w:w="1037" w:type="dxa"/>
            <w:shd w:val="clear" w:color="auto" w:fill="FFD965" w:themeFill="accent4" w:themeFillTint="99"/>
          </w:tcPr>
          <w:p>
            <w:pPr>
              <w:spacing w:before="60" w:after="60"/>
            </w:pPr>
            <w:r>
              <w:t>#117bis-e</w:t>
            </w:r>
          </w:p>
        </w:tc>
        <w:tc>
          <w:tcPr>
            <w:tcW w:w="1170" w:type="dxa"/>
            <w:shd w:val="clear" w:color="auto" w:fill="FFD965" w:themeFill="accent4" w:themeFillTint="99"/>
          </w:tcPr>
          <w:p>
            <w:pPr>
              <w:spacing w:before="60" w:after="60"/>
            </w:pPr>
            <w:r>
              <w:t>Oct 2022</w:t>
            </w:r>
          </w:p>
        </w:tc>
        <w:tc>
          <w:tcPr>
            <w:tcW w:w="1080" w:type="dxa"/>
            <w:shd w:val="clear" w:color="auto" w:fill="FFD965" w:themeFill="accent4" w:themeFillTint="99"/>
          </w:tcPr>
          <w:p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5490" w:type="dxa"/>
            <w:shd w:val="clear" w:color="auto" w:fill="FFD965" w:themeFill="accent4" w:themeFillTint="99"/>
          </w:tcPr>
          <w:p>
            <w:pPr>
              <w:spacing w:before="60" w:after="60"/>
            </w:pPr>
            <w:r>
              <w:rPr>
                <w:rFonts w:hint="eastAsia"/>
                <w:lang w:val="en-US" w:eastAsia="zh-CN"/>
              </w:rPr>
              <w:t xml:space="preserve">Continue stage-2 and stage-3 discussion and try to make the decision on: </w:t>
            </w:r>
          </w:p>
          <w:p>
            <w:pPr>
              <w:numPr>
                <w:ilvl w:val="0"/>
                <w:numId w:val="5"/>
              </w:numPr>
              <w:spacing w:before="60" w:after="60"/>
            </w:pPr>
            <w:r>
              <w:rPr>
                <w:rFonts w:hint="eastAsia"/>
              </w:rPr>
              <w:t>Support for new service type, such as AR, MR, MBS and other new service type defined or to be supported by SA4. Support RAN-visible parameters for the additional service types, and the existing service if needed；</w:t>
            </w:r>
          </w:p>
          <w:p>
            <w:pPr>
              <w:numPr>
                <w:ilvl w:val="0"/>
                <w:numId w:val="5"/>
              </w:numPr>
              <w:spacing w:before="60" w:after="60"/>
            </w:pPr>
            <w:r>
              <w:rPr>
                <w:bCs/>
                <w:lang w:eastAsia="zh-CN"/>
              </w:rPr>
              <w:t>QoE measurement</w:t>
            </w:r>
            <w:r>
              <w:rPr>
                <w:rFonts w:hint="eastAsia"/>
                <w:bCs/>
                <w:lang w:val="en-US" w:eastAsia="zh-CN"/>
              </w:rPr>
              <w:t xml:space="preserve"> configuration and</w:t>
            </w:r>
            <w:r>
              <w:rPr>
                <w:bCs/>
                <w:lang w:eastAsia="zh-CN"/>
              </w:rPr>
              <w:t xml:space="preserve"> collection </w:t>
            </w:r>
            <w:r>
              <w:rPr>
                <w:rFonts w:hint="eastAsia"/>
                <w:bCs/>
                <w:lang w:val="en-US" w:eastAsia="zh-CN"/>
              </w:rPr>
              <w:t>in RRC_INACTIVE and RRC_IDLE states</w:t>
            </w:r>
            <w:r>
              <w:rPr>
                <w:bCs/>
                <w:lang w:eastAsia="zh-CN"/>
              </w:rPr>
              <w:t xml:space="preserve"> </w:t>
            </w:r>
            <w:r>
              <w:rPr>
                <w:rFonts w:hint="eastAsia"/>
                <w:bCs/>
                <w:lang w:val="en-US" w:eastAsia="zh-CN"/>
              </w:rPr>
              <w:t xml:space="preserve">for MBS, at least </w:t>
            </w:r>
            <w:r>
              <w:rPr>
                <w:bCs/>
                <w:lang w:eastAsia="zh-CN"/>
              </w:rPr>
              <w:t xml:space="preserve">for </w:t>
            </w:r>
            <w:r>
              <w:rPr>
                <w:rFonts w:hint="eastAsia"/>
                <w:bCs/>
                <w:lang w:val="en-US" w:eastAsia="zh-CN"/>
              </w:rPr>
              <w:t xml:space="preserve">broadcast </w:t>
            </w:r>
            <w:r>
              <w:rPr>
                <w:bCs/>
                <w:lang w:eastAsia="zh-CN"/>
              </w:rPr>
              <w:t>service</w:t>
            </w:r>
          </w:p>
          <w:p>
            <w:pPr>
              <w:numPr>
                <w:ilvl w:val="0"/>
                <w:numId w:val="5"/>
              </w:numPr>
              <w:spacing w:before="60" w:after="60"/>
            </w:pPr>
            <w:r>
              <w:rPr>
                <w:bCs/>
                <w:lang w:eastAsia="zh-CN"/>
              </w:rPr>
              <w:t>QoE in NR-DC</w:t>
            </w:r>
            <w:r>
              <w:rPr>
                <w:rFonts w:hint="eastAsia"/>
                <w:bCs/>
                <w:lang w:eastAsia="zh-CN"/>
              </w:rPr>
              <w:t>, e.g. enable QoE reporting via SN</w:t>
            </w:r>
          </w:p>
          <w:p>
            <w:pPr>
              <w:spacing w:before="60" w:after="60"/>
              <w:rPr>
                <w:bCs/>
                <w:lang w:val="en-US" w:eastAsia="zh-CN"/>
              </w:rPr>
            </w:pPr>
            <w:r>
              <w:rPr>
                <w:rFonts w:hint="eastAsia"/>
              </w:rPr>
              <w:t xml:space="preserve">- </w:t>
            </w:r>
            <w:r>
              <w:rPr>
                <w:rFonts w:hint="eastAsia"/>
                <w:bCs/>
                <w:lang w:val="en-US" w:eastAsia="zh-CN"/>
              </w:rPr>
              <w:t>QoE configuration, and measurement reporting over MN/SN for NR-DC architecture, and specify the QoE measurement reporting over the other DC leg in order to maintain the reporting continuity.</w:t>
            </w:r>
          </w:p>
          <w:p>
            <w:pPr>
              <w:spacing w:before="60" w:after="60"/>
              <w:rPr>
                <w:bCs/>
                <w:lang w:val="en-US" w:eastAsia="zh-CN"/>
              </w:rPr>
            </w:pPr>
            <w:r>
              <w:rPr>
                <w:rFonts w:hint="eastAsia"/>
              </w:rPr>
              <w:t xml:space="preserve">- </w:t>
            </w:r>
            <w:r>
              <w:rPr>
                <w:rFonts w:hint="eastAsia"/>
                <w:bCs/>
                <w:lang w:val="en-US" w:eastAsia="zh-CN"/>
              </w:rPr>
              <w:t>RAN-visible QoE and radio related measurement configuration and reporting in NR-DC scenarios.</w:t>
            </w:r>
          </w:p>
          <w:p>
            <w:pPr>
              <w:numPr>
                <w:ilvl w:val="0"/>
                <w:numId w:val="5"/>
              </w:numPr>
              <w:spacing w:before="60" w:after="60"/>
            </w:pPr>
            <w:r>
              <w:rPr>
                <w:rFonts w:hint="eastAsia"/>
                <w:lang w:eastAsia="zh-CN"/>
              </w:rPr>
              <w:t>Left-over features</w:t>
            </w:r>
            <w:r>
              <w:rPr>
                <w:rFonts w:hint="eastAsia"/>
                <w:lang w:val="en-US" w:eastAsia="zh-CN"/>
              </w:rPr>
              <w:t xml:space="preserve"> from Rel-17, as well as the enhancements of existing features which are not included in Rel-17 normative phase, should be </w:t>
            </w:r>
            <w:r>
              <w:rPr>
                <w:lang w:val="en-US" w:eastAsia="zh-CN"/>
              </w:rPr>
              <w:t>supported</w:t>
            </w:r>
            <w:r>
              <w:rPr>
                <w:rFonts w:hint="eastAsia"/>
                <w:lang w:val="en-US" w:eastAsia="zh-CN"/>
              </w:rPr>
              <w:t xml:space="preserve"> in Rel-18 </w:t>
            </w:r>
            <w:r>
              <w:rPr>
                <w:lang w:val="en-US" w:eastAsia="zh-CN"/>
              </w:rPr>
              <w:t>if consensus on benefits are reached</w:t>
            </w:r>
          </w:p>
          <w:p>
            <w:pPr>
              <w:spacing w:before="60" w:after="60"/>
            </w:pPr>
            <w:r>
              <w:rPr>
                <w:rFonts w:hint="eastAsia"/>
              </w:rPr>
              <w:t xml:space="preserve">- </w:t>
            </w:r>
            <w:r>
              <w:rPr>
                <w:bCs/>
                <w:lang w:val="en-US" w:eastAsia="zh-CN"/>
              </w:rPr>
              <w:t>RAN visible QoE enhancements for QoE value, RAN visible QoE trigger event</w:t>
            </w:r>
            <w:r>
              <w:rPr>
                <w:rFonts w:hint="eastAsia"/>
                <w:bCs/>
                <w:lang w:val="en-US" w:eastAsia="zh-CN"/>
              </w:rPr>
              <w:t xml:space="preserve">, </w:t>
            </w:r>
            <w:r>
              <w:rPr>
                <w:bCs/>
                <w:lang w:val="en-US" w:eastAsia="zh-CN"/>
              </w:rPr>
              <w:t>RAN visible QoE Report over F1.</w:t>
            </w:r>
          </w:p>
          <w:p>
            <w:pPr>
              <w:spacing w:before="60" w:after="60"/>
              <w:rPr>
                <w:bCs/>
                <w:lang w:val="en-US" w:eastAsia="zh-CN"/>
              </w:rPr>
            </w:pPr>
            <w:r>
              <w:rPr>
                <w:rFonts w:hint="eastAsia"/>
              </w:rPr>
              <w:t>- QoE reporting handling enhancement for overload scenario.</w:t>
            </w:r>
          </w:p>
          <w:p>
            <w:pPr>
              <w:spacing w:before="60" w:after="60"/>
            </w:pPr>
            <w:r>
              <w:rPr>
                <w:rFonts w:hint="eastAsia"/>
              </w:rPr>
              <w:t>Handling LSs from RAN2 and other working groups.</w:t>
            </w:r>
          </w:p>
          <w:p>
            <w:pPr>
              <w:spacing w:before="60" w:after="60"/>
              <w:rPr>
                <w:lang w:val="en-US"/>
              </w:rPr>
            </w:pPr>
            <w:r>
              <w:t>5.Coordinate with other working groups e.g. RAN3</w:t>
            </w:r>
            <w:r>
              <w:rPr>
                <w:rFonts w:hint="eastAsia"/>
                <w:lang w:eastAsia="zh-CN"/>
              </w:rPr>
              <w:t>/</w:t>
            </w:r>
            <w:r>
              <w:t>SA4/SA5/SA2/CT1, and send the LS if needed</w:t>
            </w:r>
            <w:r>
              <w:rPr>
                <w:rFonts w:hint="eastAsia"/>
                <w:bCs/>
                <w:lang w:val="en-US" w:eastAsia="zh-CN"/>
              </w:rPr>
              <w:t>.</w:t>
            </w:r>
          </w:p>
          <w:p>
            <w:pPr>
              <w:spacing w:before="60" w:after="60"/>
              <w:rPr>
                <w:b/>
                <w:bCs/>
                <w:lang w:val="en-US" w:eastAsia="zh-CN"/>
              </w:rPr>
            </w:pPr>
            <w:r>
              <w:rPr>
                <w:lang w:val="en-US"/>
              </w:rPr>
              <w:t>6.</w:t>
            </w:r>
            <w:r>
              <w:rPr>
                <w:rFonts w:hint="eastAsia"/>
              </w:rPr>
              <w:t>Update BL CRs</w:t>
            </w:r>
            <w:r>
              <w:rPr>
                <w:rFonts w:hint="eastAsia"/>
                <w:lang w:val="en-US" w:eastAsia="zh-CN"/>
              </w:rPr>
              <w:t xml:space="preserve"> if needed.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CCFFFF"/>
          </w:tcPr>
          <w:p>
            <w:pPr>
              <w:spacing w:before="60" w:after="60"/>
            </w:pPr>
            <w:r>
              <w:t>RAN2</w:t>
            </w:r>
          </w:p>
        </w:tc>
        <w:tc>
          <w:tcPr>
            <w:tcW w:w="1037" w:type="dxa"/>
            <w:shd w:val="clear" w:color="auto" w:fill="CCFFFF"/>
          </w:tcPr>
          <w:p>
            <w:pPr>
              <w:spacing w:before="60" w:after="60"/>
            </w:pPr>
            <w:r>
              <w:t>#120</w:t>
            </w:r>
          </w:p>
        </w:tc>
        <w:tc>
          <w:tcPr>
            <w:tcW w:w="1170" w:type="dxa"/>
            <w:shd w:val="clear" w:color="auto" w:fill="CCFFFF"/>
          </w:tcPr>
          <w:p>
            <w:pPr>
              <w:spacing w:before="60" w:after="60"/>
            </w:pPr>
            <w:r>
              <w:t>Nov 2022</w:t>
            </w:r>
          </w:p>
        </w:tc>
        <w:tc>
          <w:tcPr>
            <w:tcW w:w="1080" w:type="dxa"/>
            <w:shd w:val="clear" w:color="auto" w:fill="CCFFFF"/>
          </w:tcPr>
          <w:p>
            <w:pPr>
              <w:spacing w:before="60" w:after="6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0.5</w:t>
            </w:r>
          </w:p>
        </w:tc>
        <w:tc>
          <w:tcPr>
            <w:tcW w:w="5490" w:type="dxa"/>
            <w:shd w:val="clear" w:color="auto" w:fill="CCFFFF"/>
          </w:tcPr>
          <w:p>
            <w:pPr>
              <w:spacing w:before="60" w:after="6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Continue stage-2 and stage-3 discussion on: </w:t>
            </w:r>
          </w:p>
          <w:p>
            <w:pPr>
              <w:spacing w:before="60" w:after="60"/>
              <w:rPr>
                <w:lang w:eastAsia="zh-CN"/>
              </w:rPr>
            </w:pPr>
            <w:r>
              <w:rPr>
                <w:lang w:eastAsia="zh-CN"/>
              </w:rPr>
              <w:t>1. Based on the RAN3 progress, specify to support for QoE in NR-DC in RAN2, e.g. enable QoE reporting via SN.</w:t>
            </w:r>
          </w:p>
          <w:p>
            <w:pPr>
              <w:spacing w:before="60" w:after="60"/>
            </w:pPr>
            <w:r>
              <w:t>2</w:t>
            </w:r>
            <w:r>
              <w:rPr>
                <w:rFonts w:hint="eastAsia"/>
              </w:rPr>
              <w:t>. QoE measurement configuration and collection in RRC_INACTIVE and RRC_IDLE states for MBS, at least for broadcast service</w:t>
            </w:r>
          </w:p>
          <w:p>
            <w:pPr>
              <w:spacing w:before="60" w:after="60"/>
            </w:pPr>
            <w:r>
              <w:t>3</w:t>
            </w:r>
            <w:r>
              <w:rPr>
                <w:rFonts w:hint="eastAsia"/>
              </w:rPr>
              <w:t>. Left-over features from Rel-17, as well as the enhancements of existing features which are not included in Rel-17 normative phase, should be supported in Rel-18 if consensus on benefits are reached:</w:t>
            </w:r>
          </w:p>
          <w:p>
            <w:pPr>
              <w:spacing w:before="60" w:after="60"/>
            </w:pPr>
            <w:r>
              <w:rPr>
                <w:rFonts w:hint="eastAsia"/>
              </w:rPr>
              <w:t>- RAN visible QoE enhancements for QoE value, RAN visible QoE trigger event</w:t>
            </w:r>
          </w:p>
          <w:p>
            <w:pPr>
              <w:spacing w:before="60" w:after="60"/>
              <w:rPr>
                <w:bCs/>
                <w:lang w:val="en-US" w:eastAsia="zh-CN"/>
              </w:rPr>
            </w:pPr>
            <w:r>
              <w:rPr>
                <w:rFonts w:hint="eastAsia"/>
              </w:rPr>
              <w:t xml:space="preserve">- </w:t>
            </w:r>
            <w:r>
              <w:rPr>
                <w:lang w:eastAsia="zh-CN"/>
              </w:rPr>
              <w:t>Based on the RAN3 progress, specify</w:t>
            </w:r>
            <w:r>
              <w:rPr>
                <w:rFonts w:hint="eastAsia"/>
              </w:rPr>
              <w:t xml:space="preserve"> QoE reporting handling enhancement for overload scenario.</w:t>
            </w:r>
          </w:p>
          <w:p>
            <w:pPr>
              <w:spacing w:before="60" w:after="60"/>
            </w:pPr>
            <w:r>
              <w:t>4. Support the continuity of</w:t>
            </w:r>
            <w:r>
              <w:rPr>
                <w:rFonts w:hint="eastAsia"/>
                <w:lang w:val="en-US" w:eastAsia="zh-CN"/>
              </w:rPr>
              <w:t xml:space="preserve"> legacy</w:t>
            </w:r>
            <w:r>
              <w:t xml:space="preserve"> QoE measurement job</w:t>
            </w:r>
            <w:r>
              <w:rPr>
                <w:rFonts w:hint="eastAsia"/>
                <w:lang w:val="en-US" w:eastAsia="zh-CN"/>
              </w:rPr>
              <w:t xml:space="preserve"> for </w:t>
            </w:r>
            <w:r>
              <w:rPr>
                <w:rFonts w:hint="eastAsia"/>
              </w:rPr>
              <w:t>streaming and MTSI service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during</w:t>
            </w:r>
            <w:r>
              <w:rPr>
                <w:rFonts w:hint="eastAsia"/>
                <w:lang w:val="en-US" w:eastAsia="zh-CN"/>
              </w:rPr>
              <w:t xml:space="preserve"> intra-5GC</w:t>
            </w:r>
            <w:r>
              <w:t xml:space="preserve"> inter-RAT handover process</w:t>
            </w:r>
          </w:p>
          <w:p>
            <w:pPr>
              <w:spacing w:before="60" w:after="60"/>
              <w:rPr>
                <w:lang w:eastAsia="zh-CN"/>
              </w:rPr>
            </w:pPr>
            <w:r>
              <w:t>5. Coordinate with other working groups e.g. RAN3</w:t>
            </w:r>
            <w:r>
              <w:rPr>
                <w:rFonts w:hint="eastAsia"/>
                <w:lang w:eastAsia="zh-CN"/>
              </w:rPr>
              <w:t>/</w:t>
            </w:r>
            <w:r>
              <w:t>SA4/SA5/SA2/CT1, and send the LS if needed</w:t>
            </w:r>
          </w:p>
          <w:p>
            <w:pPr>
              <w:spacing w:before="60" w:after="60"/>
              <w:rPr>
                <w:lang w:val="en-US" w:eastAsia="zh-CN"/>
              </w:rPr>
            </w:pPr>
            <w:r>
              <w:t>6. Update the stage-2 CR and stage-3 CR.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FFD965" w:themeFill="accent4" w:themeFillTint="99"/>
          </w:tcPr>
          <w:p>
            <w:pPr>
              <w:spacing w:before="60" w:after="60"/>
            </w:pPr>
            <w:r>
              <w:t>RAN3</w:t>
            </w:r>
          </w:p>
        </w:tc>
        <w:tc>
          <w:tcPr>
            <w:tcW w:w="1037" w:type="dxa"/>
            <w:shd w:val="clear" w:color="auto" w:fill="FFD965" w:themeFill="accent4" w:themeFillTint="99"/>
          </w:tcPr>
          <w:p>
            <w:pPr>
              <w:spacing w:before="60" w:after="60"/>
            </w:pPr>
            <w:r>
              <w:t>#118</w:t>
            </w:r>
          </w:p>
        </w:tc>
        <w:tc>
          <w:tcPr>
            <w:tcW w:w="1170" w:type="dxa"/>
            <w:shd w:val="clear" w:color="auto" w:fill="FFD965" w:themeFill="accent4" w:themeFillTint="99"/>
          </w:tcPr>
          <w:p>
            <w:pPr>
              <w:spacing w:before="60" w:after="60"/>
            </w:pPr>
            <w:r>
              <w:t>Nov 2022</w:t>
            </w:r>
          </w:p>
        </w:tc>
        <w:tc>
          <w:tcPr>
            <w:tcW w:w="1080" w:type="dxa"/>
            <w:shd w:val="clear" w:color="auto" w:fill="FFD965" w:themeFill="accent4" w:themeFillTint="99"/>
          </w:tcPr>
          <w:p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5490" w:type="dxa"/>
            <w:shd w:val="clear" w:color="auto" w:fill="FFD965" w:themeFill="accent4" w:themeFillTint="99"/>
          </w:tcPr>
          <w:p>
            <w:pPr>
              <w:spacing w:before="60" w:after="6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Continue stage-2 and stage-3 discussion on: </w:t>
            </w:r>
          </w:p>
          <w:p>
            <w:pPr>
              <w:numPr>
                <w:ilvl w:val="0"/>
                <w:numId w:val="6"/>
              </w:numPr>
              <w:spacing w:before="60" w:after="60"/>
            </w:pPr>
            <w:r>
              <w:rPr>
                <w:rFonts w:hint="eastAsia"/>
              </w:rPr>
              <w:t>Support for new service type, such as AR, MR, MBS and other new service type defined or to be supported by SA4. Support RAN-visible parameters for the additional service types, and the existing service if needed,；</w:t>
            </w:r>
          </w:p>
          <w:p>
            <w:pPr>
              <w:numPr>
                <w:ilvl w:val="0"/>
                <w:numId w:val="6"/>
              </w:numPr>
              <w:spacing w:before="60" w:after="60"/>
            </w:pPr>
            <w:r>
              <w:rPr>
                <w:bCs/>
                <w:lang w:eastAsia="zh-CN"/>
              </w:rPr>
              <w:t>QoE measurement</w:t>
            </w:r>
            <w:r>
              <w:rPr>
                <w:rFonts w:hint="eastAsia"/>
                <w:bCs/>
                <w:lang w:val="en-US" w:eastAsia="zh-CN"/>
              </w:rPr>
              <w:t xml:space="preserve"> configuration and</w:t>
            </w:r>
            <w:r>
              <w:rPr>
                <w:bCs/>
                <w:lang w:eastAsia="zh-CN"/>
              </w:rPr>
              <w:t xml:space="preserve"> collection </w:t>
            </w:r>
            <w:r>
              <w:rPr>
                <w:rFonts w:hint="eastAsia"/>
                <w:bCs/>
                <w:lang w:val="en-US" w:eastAsia="zh-CN"/>
              </w:rPr>
              <w:t>in RRC_INACTIVE and RRC_IDLE states</w:t>
            </w:r>
            <w:r>
              <w:rPr>
                <w:bCs/>
                <w:lang w:eastAsia="zh-CN"/>
              </w:rPr>
              <w:t xml:space="preserve"> </w:t>
            </w:r>
            <w:r>
              <w:rPr>
                <w:rFonts w:hint="eastAsia"/>
                <w:bCs/>
                <w:lang w:val="en-US" w:eastAsia="zh-CN"/>
              </w:rPr>
              <w:t xml:space="preserve">for MBS, at least </w:t>
            </w:r>
            <w:r>
              <w:rPr>
                <w:bCs/>
                <w:lang w:eastAsia="zh-CN"/>
              </w:rPr>
              <w:t xml:space="preserve">for </w:t>
            </w:r>
            <w:r>
              <w:rPr>
                <w:rFonts w:hint="eastAsia"/>
                <w:bCs/>
                <w:lang w:val="en-US" w:eastAsia="zh-CN"/>
              </w:rPr>
              <w:t xml:space="preserve">broadcast </w:t>
            </w:r>
            <w:r>
              <w:rPr>
                <w:bCs/>
                <w:lang w:eastAsia="zh-CN"/>
              </w:rPr>
              <w:t>service</w:t>
            </w:r>
          </w:p>
          <w:p>
            <w:pPr>
              <w:numPr>
                <w:ilvl w:val="0"/>
                <w:numId w:val="6"/>
              </w:numPr>
              <w:spacing w:before="60" w:after="60"/>
            </w:pPr>
            <w:r>
              <w:rPr>
                <w:bCs/>
                <w:lang w:eastAsia="zh-CN"/>
              </w:rPr>
              <w:t>QoE in NR-DC</w:t>
            </w:r>
            <w:r>
              <w:rPr>
                <w:rFonts w:hint="eastAsia"/>
                <w:bCs/>
                <w:lang w:eastAsia="zh-CN"/>
              </w:rPr>
              <w:t>, e.g. enable QoE reporting via SN</w:t>
            </w:r>
          </w:p>
          <w:p>
            <w:pPr>
              <w:spacing w:before="60" w:after="60"/>
              <w:rPr>
                <w:bCs/>
                <w:lang w:val="en-US" w:eastAsia="zh-CN"/>
              </w:rPr>
            </w:pPr>
            <w:r>
              <w:rPr>
                <w:rFonts w:hint="eastAsia"/>
              </w:rPr>
              <w:t xml:space="preserve">- </w:t>
            </w:r>
            <w:r>
              <w:rPr>
                <w:rFonts w:hint="eastAsia"/>
                <w:bCs/>
                <w:lang w:val="en-US" w:eastAsia="zh-CN"/>
              </w:rPr>
              <w:t>QoE configuration, and measurement reporting over MN/SN for NR-DC architecture, and specify the QoE measurement reporting over the other DC leg in order to maintain the reporting continuity.</w:t>
            </w:r>
          </w:p>
          <w:p>
            <w:pPr>
              <w:spacing w:before="60" w:after="60"/>
              <w:rPr>
                <w:bCs/>
                <w:lang w:val="en-US" w:eastAsia="zh-CN"/>
              </w:rPr>
            </w:pPr>
            <w:r>
              <w:rPr>
                <w:rFonts w:hint="eastAsia"/>
              </w:rPr>
              <w:t xml:space="preserve">- </w:t>
            </w:r>
            <w:r>
              <w:rPr>
                <w:rFonts w:hint="eastAsia"/>
                <w:bCs/>
                <w:lang w:val="en-US" w:eastAsia="zh-CN"/>
              </w:rPr>
              <w:t>RAN-visible QoE and radio related measurement configuration and reporting in NR-DC scenarios.</w:t>
            </w:r>
          </w:p>
          <w:p>
            <w:pPr>
              <w:spacing w:before="60" w:after="60"/>
              <w:rPr>
                <w:bCs/>
                <w:lang w:val="en-US" w:eastAsia="zh-CN"/>
              </w:rPr>
            </w:pPr>
            <w:r>
              <w:rPr>
                <w:rFonts w:hint="eastAsia"/>
              </w:rPr>
              <w:t xml:space="preserve">- </w:t>
            </w:r>
            <w:r>
              <w:rPr>
                <w:bCs/>
                <w:lang w:val="en-US" w:eastAsia="zh-CN"/>
              </w:rPr>
              <w:t>QoE measurement continuity in mobility scenarios in NR-DC.</w:t>
            </w:r>
          </w:p>
          <w:p>
            <w:pPr>
              <w:spacing w:before="60" w:after="60"/>
              <w:rPr>
                <w:bCs/>
                <w:lang w:val="en-US" w:eastAsia="zh-CN"/>
              </w:rPr>
            </w:pPr>
            <w:r>
              <w:rPr>
                <w:rFonts w:hint="eastAsia"/>
              </w:rPr>
              <w:t xml:space="preserve">- </w:t>
            </w:r>
            <w:r>
              <w:rPr>
                <w:rFonts w:hint="eastAsia"/>
                <w:bCs/>
                <w:lang w:val="en-US" w:eastAsia="zh-CN"/>
              </w:rPr>
              <w:t xml:space="preserve">Discuss the </w:t>
            </w:r>
            <w:r>
              <w:rPr>
                <w:bCs/>
                <w:lang w:val="en-US" w:eastAsia="zh-CN"/>
              </w:rPr>
              <w:t>alignment of QoE measurements (including legacy QoE and RAN visible QoE measurements) and radio related measurement in NR-DC.</w:t>
            </w:r>
          </w:p>
          <w:p>
            <w:pPr>
              <w:numPr>
                <w:ilvl w:val="0"/>
                <w:numId w:val="6"/>
              </w:numPr>
              <w:spacing w:before="60" w:after="60"/>
            </w:pPr>
            <w:r>
              <w:rPr>
                <w:rFonts w:hint="eastAsia"/>
                <w:b/>
                <w:bCs/>
                <w:lang w:val="en-US" w:eastAsia="zh-CN"/>
              </w:rPr>
              <w:t>D</w:t>
            </w:r>
            <w:r>
              <w:rPr>
                <w:b/>
                <w:bCs/>
                <w:lang w:val="en-US" w:eastAsia="zh-CN"/>
              </w:rPr>
              <w:t xml:space="preserve">iscussion on the solutions </w:t>
            </w:r>
            <w:r>
              <w:rPr>
                <w:rFonts w:hint="eastAsia"/>
                <w:lang w:val="en-US" w:eastAsia="zh-CN"/>
              </w:rPr>
              <w:t>for l</w:t>
            </w:r>
            <w:r>
              <w:rPr>
                <w:rFonts w:hint="eastAsia"/>
                <w:lang w:eastAsia="zh-CN"/>
              </w:rPr>
              <w:t>eft-over features</w:t>
            </w:r>
            <w:r>
              <w:rPr>
                <w:rFonts w:hint="eastAsia"/>
                <w:lang w:val="en-US" w:eastAsia="zh-CN"/>
              </w:rPr>
              <w:t xml:space="preserve"> from Rel-17:</w:t>
            </w:r>
          </w:p>
          <w:p>
            <w:pPr>
              <w:spacing w:before="60" w:after="60"/>
            </w:pPr>
            <w:r>
              <w:rPr>
                <w:rFonts w:hint="eastAsia"/>
              </w:rPr>
              <w:t xml:space="preserve">- </w:t>
            </w:r>
            <w:r>
              <w:rPr>
                <w:bCs/>
                <w:lang w:val="en-US" w:eastAsia="zh-CN"/>
              </w:rPr>
              <w:t>RAN visible QoE enhancements for QoE value, RAN visible QoE trigger event</w:t>
            </w:r>
            <w:r>
              <w:rPr>
                <w:rFonts w:hint="eastAsia"/>
                <w:bCs/>
                <w:lang w:val="en-US" w:eastAsia="zh-CN"/>
              </w:rPr>
              <w:t xml:space="preserve">, </w:t>
            </w:r>
            <w:r>
              <w:rPr>
                <w:bCs/>
                <w:lang w:val="en-US" w:eastAsia="zh-CN"/>
              </w:rPr>
              <w:t>RAN visible QoE Report over F1.</w:t>
            </w:r>
          </w:p>
          <w:p>
            <w:pPr>
              <w:spacing w:before="60" w:after="60"/>
            </w:pPr>
            <w:r>
              <w:rPr>
                <w:rFonts w:hint="eastAsia"/>
              </w:rPr>
              <w:t>- QoE reporting handling enhancement for overload scenario.</w:t>
            </w:r>
          </w:p>
          <w:p>
            <w:pPr>
              <w:spacing w:before="60" w:after="60"/>
            </w:pPr>
            <w:r>
              <w:rPr>
                <w:rFonts w:hint="eastAsia"/>
              </w:rPr>
              <w:t>Handling LSs from RAN2 and other working groups.</w:t>
            </w:r>
          </w:p>
          <w:p>
            <w:pPr>
              <w:spacing w:before="60" w:after="60"/>
              <w:rPr>
                <w:lang w:val="en-US"/>
              </w:rPr>
            </w:pPr>
            <w:r>
              <w:t>5.Coordinate with other working groups e.g. RAN3</w:t>
            </w:r>
            <w:r>
              <w:rPr>
                <w:rFonts w:hint="eastAsia"/>
                <w:lang w:eastAsia="zh-CN"/>
              </w:rPr>
              <w:t>/</w:t>
            </w:r>
            <w:r>
              <w:t>SA4/SA5/SA2/CT1, and send the LS if needed</w:t>
            </w:r>
            <w:r>
              <w:rPr>
                <w:rFonts w:hint="eastAsia"/>
                <w:bCs/>
                <w:lang w:val="en-US" w:eastAsia="zh-CN"/>
              </w:rPr>
              <w:t>.</w:t>
            </w:r>
          </w:p>
          <w:p>
            <w:pPr>
              <w:spacing w:before="60" w:after="60"/>
            </w:pPr>
            <w:r>
              <w:t>6.</w:t>
            </w:r>
            <w:r>
              <w:rPr>
                <w:rFonts w:hint="eastAsia"/>
              </w:rPr>
              <w:t>Update BL CRs</w:t>
            </w:r>
            <w:r>
              <w:rPr>
                <w:rFonts w:hint="eastAsia"/>
                <w:lang w:val="en-US" w:eastAsia="zh-CN"/>
              </w:rPr>
              <w:t xml:space="preserve"> if needed.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CCFFFF"/>
          </w:tcPr>
          <w:p>
            <w:pPr>
              <w:spacing w:before="60" w:after="60"/>
            </w:pPr>
            <w:r>
              <w:t>RAN2</w:t>
            </w:r>
          </w:p>
        </w:tc>
        <w:tc>
          <w:tcPr>
            <w:tcW w:w="1037" w:type="dxa"/>
            <w:shd w:val="clear" w:color="auto" w:fill="CCFFFF"/>
          </w:tcPr>
          <w:p>
            <w:pPr>
              <w:spacing w:before="60" w:after="60"/>
            </w:pPr>
            <w:r>
              <w:t>#121</w:t>
            </w:r>
          </w:p>
        </w:tc>
        <w:tc>
          <w:tcPr>
            <w:tcW w:w="1170" w:type="dxa"/>
            <w:shd w:val="clear" w:color="auto" w:fill="CCFFFF"/>
          </w:tcPr>
          <w:p>
            <w:pPr>
              <w:spacing w:before="60" w:after="60"/>
            </w:pPr>
            <w:r>
              <w:t>Feb 2023</w:t>
            </w:r>
          </w:p>
        </w:tc>
        <w:tc>
          <w:tcPr>
            <w:tcW w:w="1080" w:type="dxa"/>
            <w:shd w:val="clear" w:color="auto" w:fill="CCFFFF"/>
          </w:tcPr>
          <w:p>
            <w:pPr>
              <w:spacing w:before="60" w:after="60"/>
              <w:jc w:val="center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5490" w:type="dxa"/>
            <w:shd w:val="clear" w:color="auto" w:fill="CCFFFF"/>
          </w:tcPr>
          <w:p>
            <w:pPr>
              <w:spacing w:before="60" w:after="60"/>
            </w:pPr>
            <w:r>
              <w:t>1. Continue discussion for the above topics</w:t>
            </w:r>
          </w:p>
          <w:p>
            <w:pPr>
              <w:spacing w:before="60" w:after="60"/>
            </w:pPr>
            <w:r>
              <w:t>2.Coordinate with other working groups e.g. RAN3/SA4/SA5/SA2/CT1, and send the LS if needed.</w:t>
            </w:r>
          </w:p>
          <w:p>
            <w:pPr>
              <w:spacing w:before="60" w:after="60"/>
            </w:pPr>
            <w:r>
              <w:t>3.Update stage-2 CR and stage-3 CR if needed.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FFD965" w:themeFill="accent4" w:themeFillTint="99"/>
          </w:tcPr>
          <w:p>
            <w:pPr>
              <w:spacing w:before="60" w:after="60"/>
            </w:pPr>
            <w:r>
              <w:t>RAN3</w:t>
            </w:r>
          </w:p>
        </w:tc>
        <w:tc>
          <w:tcPr>
            <w:tcW w:w="1037" w:type="dxa"/>
            <w:shd w:val="clear" w:color="auto" w:fill="FFD965" w:themeFill="accent4" w:themeFillTint="99"/>
          </w:tcPr>
          <w:p>
            <w:pPr>
              <w:spacing w:before="60" w:after="60"/>
            </w:pPr>
            <w:r>
              <w:t>#119</w:t>
            </w:r>
          </w:p>
        </w:tc>
        <w:tc>
          <w:tcPr>
            <w:tcW w:w="1170" w:type="dxa"/>
            <w:shd w:val="clear" w:color="auto" w:fill="FFD965" w:themeFill="accent4" w:themeFillTint="99"/>
          </w:tcPr>
          <w:p>
            <w:pPr>
              <w:spacing w:before="60" w:after="60"/>
            </w:pPr>
            <w:r>
              <w:t>Feb 2023</w:t>
            </w:r>
          </w:p>
        </w:tc>
        <w:tc>
          <w:tcPr>
            <w:tcW w:w="1080" w:type="dxa"/>
            <w:shd w:val="clear" w:color="auto" w:fill="FFD965" w:themeFill="accent4" w:themeFillTint="99"/>
          </w:tcPr>
          <w:p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5490" w:type="dxa"/>
            <w:shd w:val="clear" w:color="auto" w:fill="FFD965" w:themeFill="accent4" w:themeFillTint="99"/>
          </w:tcPr>
          <w:p>
            <w:pPr>
              <w:numPr>
                <w:ilvl w:val="0"/>
                <w:numId w:val="7"/>
              </w:numPr>
              <w:spacing w:before="60" w:after="60"/>
            </w:pPr>
            <w:r>
              <w:t>Continue discussion for the above topics</w:t>
            </w:r>
          </w:p>
          <w:p>
            <w:pPr>
              <w:numPr>
                <w:ilvl w:val="0"/>
                <w:numId w:val="7"/>
              </w:numPr>
              <w:spacing w:before="60" w:after="60"/>
            </w:pPr>
            <w:r>
              <w:rPr>
                <w:rFonts w:hint="eastAsia"/>
                <w:lang w:val="en-US" w:eastAsia="zh-CN"/>
              </w:rPr>
              <w:t>Initial the d</w:t>
            </w:r>
            <w:r>
              <w:rPr>
                <w:rFonts w:hint="eastAsia"/>
              </w:rPr>
              <w:t xml:space="preserve">iscussion </w:t>
            </w:r>
            <w:r>
              <w:rPr>
                <w:rFonts w:hint="eastAsia"/>
                <w:lang w:val="en-US" w:eastAsia="zh-CN"/>
              </w:rPr>
              <w:t>about</w:t>
            </w:r>
            <w:r>
              <w:rPr>
                <w:rFonts w:hint="eastAsia"/>
              </w:rPr>
              <w:t xml:space="preserve"> the continuity of legacy QoE measurement job for streaming and MTSI service during intra-5GC inter-RAT handover process.</w:t>
            </w:r>
          </w:p>
          <w:p>
            <w:pPr>
              <w:spacing w:before="60" w:after="60"/>
            </w:pPr>
            <w:r>
              <w:rPr>
                <w:rFonts w:hint="eastAsia"/>
                <w:lang w:val="en-US" w:eastAsia="zh-CN"/>
              </w:rPr>
              <w:t>3</w:t>
            </w:r>
            <w:r>
              <w:t>.Coordinate with other working groups e.g. RAN3/SA4/SA5/SA2/CT1, and send the LS if needed.</w:t>
            </w:r>
          </w:p>
          <w:p>
            <w:pPr>
              <w:spacing w:before="60" w:after="60"/>
            </w:pPr>
            <w:r>
              <w:rPr>
                <w:rFonts w:hint="eastAsia"/>
                <w:lang w:val="en-US" w:eastAsia="zh-CN"/>
              </w:rPr>
              <w:t>4</w:t>
            </w:r>
            <w:r>
              <w:t>.Update BL CRs if needed.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CCFFFF"/>
          </w:tcPr>
          <w:p>
            <w:pPr>
              <w:spacing w:before="60" w:after="60"/>
            </w:pPr>
            <w:r>
              <w:t>RAN2</w:t>
            </w:r>
          </w:p>
        </w:tc>
        <w:tc>
          <w:tcPr>
            <w:tcW w:w="1037" w:type="dxa"/>
            <w:shd w:val="clear" w:color="auto" w:fill="CCFFFF"/>
          </w:tcPr>
          <w:p>
            <w:pPr>
              <w:spacing w:before="60" w:after="60"/>
            </w:pPr>
            <w:r>
              <w:t>#121bis</w:t>
            </w:r>
          </w:p>
        </w:tc>
        <w:tc>
          <w:tcPr>
            <w:tcW w:w="1170" w:type="dxa"/>
            <w:shd w:val="clear" w:color="auto" w:fill="CCFFFF"/>
          </w:tcPr>
          <w:p>
            <w:pPr>
              <w:spacing w:before="60" w:after="60"/>
            </w:pPr>
            <w:r>
              <w:t>April 2023</w:t>
            </w:r>
          </w:p>
        </w:tc>
        <w:tc>
          <w:tcPr>
            <w:tcW w:w="1080" w:type="dxa"/>
            <w:shd w:val="clear" w:color="auto" w:fill="CCFFFF"/>
          </w:tcPr>
          <w:p>
            <w:pPr>
              <w:spacing w:before="60" w:after="60"/>
              <w:jc w:val="center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5490" w:type="dxa"/>
            <w:shd w:val="clear" w:color="auto" w:fill="CCFFFF"/>
          </w:tcPr>
          <w:p>
            <w:pPr>
              <w:spacing w:before="60" w:after="60"/>
            </w:pPr>
            <w:r>
              <w:t>1. Continue discussion for the above topics</w:t>
            </w:r>
          </w:p>
          <w:p>
            <w:pPr>
              <w:spacing w:before="60" w:after="60"/>
            </w:pPr>
            <w:r>
              <w:t>2.Coordinate with other working groups e.g. RAN3/SA4/SA5/SA2/CT1, and send the LS if needed.</w:t>
            </w:r>
          </w:p>
          <w:p>
            <w:pPr>
              <w:spacing w:before="60" w:after="60"/>
            </w:pPr>
            <w:r>
              <w:t>3.Update stage-2 CR and stage-3 CR if needed.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FFD965" w:themeFill="accent4" w:themeFillTint="99"/>
          </w:tcPr>
          <w:p>
            <w:pPr>
              <w:spacing w:before="60" w:after="60"/>
            </w:pPr>
            <w:r>
              <w:t>RAN3</w:t>
            </w:r>
          </w:p>
        </w:tc>
        <w:tc>
          <w:tcPr>
            <w:tcW w:w="1037" w:type="dxa"/>
            <w:shd w:val="clear" w:color="auto" w:fill="FFD965" w:themeFill="accent4" w:themeFillTint="99"/>
          </w:tcPr>
          <w:p>
            <w:pPr>
              <w:spacing w:before="60" w:after="60"/>
            </w:pPr>
            <w:r>
              <w:t>#119bis</w:t>
            </w:r>
          </w:p>
        </w:tc>
        <w:tc>
          <w:tcPr>
            <w:tcW w:w="1170" w:type="dxa"/>
            <w:shd w:val="clear" w:color="auto" w:fill="FFD965" w:themeFill="accent4" w:themeFillTint="99"/>
          </w:tcPr>
          <w:p>
            <w:pPr>
              <w:spacing w:before="60" w:after="60"/>
            </w:pPr>
            <w:r>
              <w:t>April 2023</w:t>
            </w:r>
          </w:p>
        </w:tc>
        <w:tc>
          <w:tcPr>
            <w:tcW w:w="1080" w:type="dxa"/>
            <w:shd w:val="clear" w:color="auto" w:fill="FFD965" w:themeFill="accent4" w:themeFillTint="99"/>
          </w:tcPr>
          <w:p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5490" w:type="dxa"/>
            <w:shd w:val="clear" w:color="auto" w:fill="FFD965" w:themeFill="accent4" w:themeFillTint="99"/>
          </w:tcPr>
          <w:p>
            <w:pPr>
              <w:spacing w:before="60" w:after="60"/>
            </w:pPr>
            <w:r>
              <w:t>1. Continue discussion for the above topics</w:t>
            </w:r>
          </w:p>
          <w:p>
            <w:pPr>
              <w:spacing w:before="60" w:after="60"/>
            </w:pPr>
            <w:r>
              <w:t>2.Coordinate with other working groups e.g. RAN3/SA4/SA5/SA2/CT1, and send the LS if needed.</w:t>
            </w:r>
          </w:p>
          <w:p>
            <w:pPr>
              <w:spacing w:before="60" w:after="60"/>
            </w:pPr>
            <w:r>
              <w:t>3.Update BL CRs if needed.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CCFFFF"/>
          </w:tcPr>
          <w:p>
            <w:pPr>
              <w:spacing w:before="60" w:after="60"/>
            </w:pPr>
            <w:r>
              <w:t>RAN2</w:t>
            </w:r>
          </w:p>
        </w:tc>
        <w:tc>
          <w:tcPr>
            <w:tcW w:w="1037" w:type="dxa"/>
            <w:shd w:val="clear" w:color="auto" w:fill="CCFFFF"/>
          </w:tcPr>
          <w:p>
            <w:pPr>
              <w:spacing w:before="60" w:after="60"/>
            </w:pPr>
            <w:r>
              <w:t>#122</w:t>
            </w:r>
          </w:p>
        </w:tc>
        <w:tc>
          <w:tcPr>
            <w:tcW w:w="1170" w:type="dxa"/>
            <w:shd w:val="clear" w:color="auto" w:fill="CCFFFF"/>
          </w:tcPr>
          <w:p>
            <w:pPr>
              <w:spacing w:before="60" w:after="60"/>
            </w:pPr>
            <w:r>
              <w:t>May 2023</w:t>
            </w:r>
          </w:p>
        </w:tc>
        <w:tc>
          <w:tcPr>
            <w:tcW w:w="1080" w:type="dxa"/>
            <w:shd w:val="clear" w:color="auto" w:fill="CCFFFF"/>
          </w:tcPr>
          <w:p>
            <w:pPr>
              <w:spacing w:before="60" w:after="60"/>
              <w:jc w:val="center"/>
            </w:pPr>
            <w:r>
              <w:t>0.5</w:t>
            </w:r>
          </w:p>
        </w:tc>
        <w:tc>
          <w:tcPr>
            <w:tcW w:w="5490" w:type="dxa"/>
            <w:shd w:val="clear" w:color="auto" w:fill="CCFFFF"/>
          </w:tcPr>
          <w:p>
            <w:pPr>
              <w:spacing w:before="60" w:after="60"/>
            </w:pPr>
            <w:r>
              <w:t>1. Continue discussion for the above topics</w:t>
            </w:r>
          </w:p>
          <w:p>
            <w:pPr>
              <w:spacing w:before="60" w:after="60"/>
            </w:pPr>
            <w:r>
              <w:t>2.Coordinate with other working groups e.g. RAN3/SA4/SA5/SA2/CT1, and send the LS if needed.</w:t>
            </w:r>
          </w:p>
          <w:p>
            <w:pPr>
              <w:spacing w:before="60" w:after="60"/>
            </w:pPr>
            <w:r>
              <w:t>3.Update stage-2 CR and stage-3 CR if needed.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FFD965" w:themeFill="accent4" w:themeFillTint="99"/>
          </w:tcPr>
          <w:p>
            <w:pPr>
              <w:spacing w:before="60" w:after="60"/>
            </w:pPr>
            <w:r>
              <w:t>RAN3</w:t>
            </w:r>
          </w:p>
        </w:tc>
        <w:tc>
          <w:tcPr>
            <w:tcW w:w="1037" w:type="dxa"/>
            <w:shd w:val="clear" w:color="auto" w:fill="FFD965" w:themeFill="accent4" w:themeFillTint="99"/>
          </w:tcPr>
          <w:p>
            <w:pPr>
              <w:spacing w:before="60" w:after="60"/>
            </w:pPr>
            <w:r>
              <w:t>#120</w:t>
            </w:r>
          </w:p>
        </w:tc>
        <w:tc>
          <w:tcPr>
            <w:tcW w:w="1170" w:type="dxa"/>
            <w:shd w:val="clear" w:color="auto" w:fill="FFD965" w:themeFill="accent4" w:themeFillTint="99"/>
          </w:tcPr>
          <w:p>
            <w:pPr>
              <w:spacing w:before="60" w:after="60"/>
            </w:pPr>
            <w:r>
              <w:t>May 2023</w:t>
            </w:r>
          </w:p>
        </w:tc>
        <w:tc>
          <w:tcPr>
            <w:tcW w:w="1080" w:type="dxa"/>
            <w:shd w:val="clear" w:color="auto" w:fill="FFD965" w:themeFill="accent4" w:themeFillTint="99"/>
          </w:tcPr>
          <w:p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5490" w:type="dxa"/>
            <w:shd w:val="clear" w:color="auto" w:fill="FFD965" w:themeFill="accent4" w:themeFillTint="99"/>
          </w:tcPr>
          <w:p>
            <w:pPr>
              <w:spacing w:before="60" w:after="60"/>
            </w:pPr>
            <w:r>
              <w:t>1. Continue discussion for the above topics</w:t>
            </w:r>
          </w:p>
          <w:p>
            <w:pPr>
              <w:spacing w:before="60" w:after="60"/>
            </w:pPr>
            <w:r>
              <w:t>2.Coordinate with other working groups e.g. RAN3/SA4/SA5/SA2/CT1, and send the LS if needed.</w:t>
            </w:r>
          </w:p>
          <w:p>
            <w:pPr>
              <w:spacing w:before="60" w:after="60"/>
            </w:pPr>
            <w:r>
              <w:t>3.Update BL CRs if needed.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CCFFFF"/>
          </w:tcPr>
          <w:p>
            <w:pPr>
              <w:spacing w:before="60" w:after="60"/>
            </w:pPr>
            <w:r>
              <w:t>RAN2</w:t>
            </w:r>
          </w:p>
        </w:tc>
        <w:tc>
          <w:tcPr>
            <w:tcW w:w="1037" w:type="dxa"/>
            <w:shd w:val="clear" w:color="auto" w:fill="CCFFFF"/>
          </w:tcPr>
          <w:p>
            <w:pPr>
              <w:spacing w:before="60" w:after="60"/>
            </w:pPr>
            <w:r>
              <w:t>#123</w:t>
            </w:r>
          </w:p>
        </w:tc>
        <w:tc>
          <w:tcPr>
            <w:tcW w:w="1170" w:type="dxa"/>
            <w:shd w:val="clear" w:color="auto" w:fill="CCFFFF"/>
          </w:tcPr>
          <w:p>
            <w:pPr>
              <w:spacing w:before="60" w:after="60"/>
            </w:pPr>
            <w:r>
              <w:t>Aug 2023</w:t>
            </w:r>
          </w:p>
        </w:tc>
        <w:tc>
          <w:tcPr>
            <w:tcW w:w="1080" w:type="dxa"/>
            <w:shd w:val="clear" w:color="auto" w:fill="CCFFFF"/>
          </w:tcPr>
          <w:p>
            <w:pPr>
              <w:spacing w:before="60" w:after="60"/>
              <w:jc w:val="center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5490" w:type="dxa"/>
            <w:shd w:val="clear" w:color="auto" w:fill="CCFFFF"/>
          </w:tcPr>
          <w:p>
            <w:pPr>
              <w:spacing w:before="60" w:after="60"/>
            </w:pPr>
            <w:r>
              <w:t>1. Continue discussion for the above topics</w:t>
            </w:r>
          </w:p>
          <w:p>
            <w:pPr>
              <w:spacing w:before="60" w:after="60"/>
            </w:pPr>
            <w:r>
              <w:t>2.Coordinate with other working groups e.g. RAN3/SA4/SA5/SA2/CT1, and send the LS if needed.</w:t>
            </w:r>
          </w:p>
          <w:p>
            <w:pPr>
              <w:spacing w:before="60" w:after="60"/>
            </w:pPr>
            <w:r>
              <w:t>3.Update stage-2 CR and stage-3 CR if needed.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FFD965" w:themeFill="accent4" w:themeFillTint="99"/>
          </w:tcPr>
          <w:p>
            <w:pPr>
              <w:spacing w:before="60" w:after="60"/>
            </w:pPr>
            <w:r>
              <w:t>RAN3</w:t>
            </w:r>
          </w:p>
        </w:tc>
        <w:tc>
          <w:tcPr>
            <w:tcW w:w="1037" w:type="dxa"/>
            <w:shd w:val="clear" w:color="auto" w:fill="FFD965" w:themeFill="accent4" w:themeFillTint="99"/>
          </w:tcPr>
          <w:p>
            <w:pPr>
              <w:spacing w:before="60" w:after="60"/>
            </w:pPr>
            <w:r>
              <w:t>#121</w:t>
            </w:r>
          </w:p>
        </w:tc>
        <w:tc>
          <w:tcPr>
            <w:tcW w:w="1170" w:type="dxa"/>
            <w:shd w:val="clear" w:color="auto" w:fill="FFD965" w:themeFill="accent4" w:themeFillTint="99"/>
          </w:tcPr>
          <w:p>
            <w:pPr>
              <w:spacing w:before="60" w:after="60"/>
            </w:pPr>
            <w:r>
              <w:t>Aug 2023</w:t>
            </w:r>
          </w:p>
        </w:tc>
        <w:tc>
          <w:tcPr>
            <w:tcW w:w="1080" w:type="dxa"/>
            <w:shd w:val="clear" w:color="auto" w:fill="FFD965" w:themeFill="accent4" w:themeFillTint="99"/>
          </w:tcPr>
          <w:p>
            <w:pPr>
              <w:spacing w:before="60" w:after="60"/>
              <w:jc w:val="center"/>
            </w:pPr>
            <w:r>
              <w:t>1</w:t>
            </w:r>
            <w:bookmarkStart w:id="1" w:name="_GoBack"/>
            <w:bookmarkEnd w:id="1"/>
          </w:p>
        </w:tc>
        <w:tc>
          <w:tcPr>
            <w:tcW w:w="5490" w:type="dxa"/>
            <w:shd w:val="clear" w:color="auto" w:fill="FFD965" w:themeFill="accent4" w:themeFillTint="99"/>
          </w:tcPr>
          <w:p>
            <w:pPr>
              <w:spacing w:before="60" w:after="60"/>
            </w:pPr>
            <w:r>
              <w:t>1. Continue discussion for the above topics</w:t>
            </w:r>
          </w:p>
          <w:p>
            <w:pPr>
              <w:spacing w:before="60" w:after="60"/>
            </w:pPr>
            <w:r>
              <w:t>2.Coordinate with other working groups e.g. RAN3/SA4/SA5/SA2/CT1, and send the LS if needed.</w:t>
            </w:r>
          </w:p>
          <w:p>
            <w:pPr>
              <w:spacing w:before="60" w:after="60"/>
            </w:pPr>
            <w:r>
              <w:t>3.Update BL CRs if needed.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CCFFFF"/>
          </w:tcPr>
          <w:p>
            <w:pPr>
              <w:spacing w:before="60" w:after="60"/>
            </w:pPr>
            <w:r>
              <w:t>RAN2</w:t>
            </w:r>
          </w:p>
        </w:tc>
        <w:tc>
          <w:tcPr>
            <w:tcW w:w="1037" w:type="dxa"/>
            <w:shd w:val="clear" w:color="auto" w:fill="CCFFFF"/>
          </w:tcPr>
          <w:p>
            <w:pPr>
              <w:spacing w:before="60" w:after="60"/>
            </w:pPr>
            <w:r>
              <w:t>#123bis</w:t>
            </w:r>
          </w:p>
        </w:tc>
        <w:tc>
          <w:tcPr>
            <w:tcW w:w="1170" w:type="dxa"/>
            <w:shd w:val="clear" w:color="auto" w:fill="CCFFFF"/>
          </w:tcPr>
          <w:p>
            <w:pPr>
              <w:spacing w:before="60" w:after="60"/>
            </w:pPr>
            <w:r>
              <w:t>Oct 2023</w:t>
            </w:r>
          </w:p>
        </w:tc>
        <w:tc>
          <w:tcPr>
            <w:tcW w:w="1080" w:type="dxa"/>
            <w:shd w:val="clear" w:color="auto" w:fill="CCFFFF"/>
          </w:tcPr>
          <w:p>
            <w:pPr>
              <w:spacing w:before="60" w:after="60"/>
              <w:jc w:val="center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5490" w:type="dxa"/>
            <w:shd w:val="clear" w:color="auto" w:fill="CCFFFF"/>
          </w:tcPr>
          <w:p>
            <w:pPr>
              <w:spacing w:before="60" w:after="60"/>
            </w:pPr>
            <w:r>
              <w:t>1. Continue discussion for the above topics</w:t>
            </w:r>
          </w:p>
          <w:p>
            <w:pPr>
              <w:spacing w:before="60" w:after="60"/>
            </w:pPr>
            <w:r>
              <w:t>2.Coordinate with other working groups e.g. RAN3/SA4/SA5/SA2/CT1, and send the LS if needed.</w:t>
            </w:r>
          </w:p>
          <w:p>
            <w:pPr>
              <w:spacing w:before="60" w:after="60"/>
            </w:pPr>
            <w:r>
              <w:t>3.Update stage-2 CR and stage-3 CR if needed.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FFD965" w:themeFill="accent4" w:themeFillTint="99"/>
          </w:tcPr>
          <w:p>
            <w:pPr>
              <w:spacing w:before="60" w:after="60"/>
            </w:pPr>
            <w:r>
              <w:t>RAN3</w:t>
            </w:r>
          </w:p>
        </w:tc>
        <w:tc>
          <w:tcPr>
            <w:tcW w:w="1037" w:type="dxa"/>
            <w:shd w:val="clear" w:color="auto" w:fill="FFD965" w:themeFill="accent4" w:themeFillTint="99"/>
          </w:tcPr>
          <w:p>
            <w:pPr>
              <w:spacing w:before="60" w:after="60"/>
            </w:pPr>
            <w:r>
              <w:t>#121bis</w:t>
            </w:r>
          </w:p>
        </w:tc>
        <w:tc>
          <w:tcPr>
            <w:tcW w:w="1170" w:type="dxa"/>
            <w:shd w:val="clear" w:color="auto" w:fill="FFD965" w:themeFill="accent4" w:themeFillTint="99"/>
          </w:tcPr>
          <w:p>
            <w:pPr>
              <w:spacing w:before="60" w:after="60"/>
            </w:pPr>
            <w:r>
              <w:t>Oct 2023</w:t>
            </w:r>
          </w:p>
        </w:tc>
        <w:tc>
          <w:tcPr>
            <w:tcW w:w="1080" w:type="dxa"/>
            <w:shd w:val="clear" w:color="auto" w:fill="FFD965" w:themeFill="accent4" w:themeFillTint="99"/>
          </w:tcPr>
          <w:p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5490" w:type="dxa"/>
            <w:shd w:val="clear" w:color="auto" w:fill="FFD965" w:themeFill="accent4" w:themeFillTint="99"/>
          </w:tcPr>
          <w:p>
            <w:pPr>
              <w:spacing w:before="60" w:after="60"/>
            </w:pPr>
            <w:r>
              <w:t>1. Continue discussion for the above topics</w:t>
            </w:r>
          </w:p>
          <w:p>
            <w:pPr>
              <w:spacing w:before="60" w:after="60"/>
            </w:pPr>
            <w:r>
              <w:t>2.Coordinate with other working groups e.g. RAN3/SA4/SA5/SA2/CT1, and send the LS if needed.</w:t>
            </w:r>
          </w:p>
          <w:p>
            <w:pPr>
              <w:spacing w:before="60" w:after="60"/>
            </w:pPr>
            <w:r>
              <w:t>3.Update BL CRs if needed.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CCFFFF"/>
          </w:tcPr>
          <w:p>
            <w:pPr>
              <w:spacing w:before="60" w:after="60"/>
            </w:pPr>
            <w:r>
              <w:t>RAN2</w:t>
            </w:r>
          </w:p>
        </w:tc>
        <w:tc>
          <w:tcPr>
            <w:tcW w:w="1037" w:type="dxa"/>
            <w:shd w:val="clear" w:color="auto" w:fill="CCFFFF"/>
          </w:tcPr>
          <w:p>
            <w:pPr>
              <w:spacing w:before="60" w:after="60"/>
            </w:pPr>
            <w:r>
              <w:t>#124</w:t>
            </w:r>
          </w:p>
        </w:tc>
        <w:tc>
          <w:tcPr>
            <w:tcW w:w="1170" w:type="dxa"/>
            <w:shd w:val="clear" w:color="auto" w:fill="CCFFFF"/>
          </w:tcPr>
          <w:p>
            <w:pPr>
              <w:spacing w:before="60" w:after="60"/>
            </w:pPr>
            <w:r>
              <w:t>Nov 2023</w:t>
            </w:r>
          </w:p>
        </w:tc>
        <w:tc>
          <w:tcPr>
            <w:tcW w:w="1080" w:type="dxa"/>
            <w:shd w:val="clear" w:color="auto" w:fill="CCFFFF"/>
          </w:tcPr>
          <w:p>
            <w:pPr>
              <w:spacing w:before="60" w:after="60"/>
              <w:jc w:val="center"/>
            </w:pPr>
            <w:r>
              <w:t>0.5</w:t>
            </w:r>
          </w:p>
        </w:tc>
        <w:tc>
          <w:tcPr>
            <w:tcW w:w="5490" w:type="dxa"/>
            <w:shd w:val="clear" w:color="auto" w:fill="CCFFFF"/>
          </w:tcPr>
          <w:p>
            <w:pPr>
              <w:spacing w:before="60" w:after="60"/>
            </w:pPr>
            <w:r>
              <w:t>1. Continue discussion and make the final conclusion for the above topics</w:t>
            </w:r>
          </w:p>
          <w:p>
            <w:pPr>
              <w:spacing w:before="60" w:after="60"/>
            </w:pPr>
            <w:r>
              <w:t>2.Coordinate with other working groups e.g. RAN3/SA4/SA5/SA2/CT1, and send the LS if needed.</w:t>
            </w:r>
          </w:p>
          <w:p>
            <w:pPr>
              <w:spacing w:before="60" w:after="60"/>
            </w:pPr>
            <w:r>
              <w:t>3.Update stage-2 CR and stage-3 CR if needed.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FFD965" w:themeFill="accent4" w:themeFillTint="99"/>
          </w:tcPr>
          <w:p>
            <w:pPr>
              <w:spacing w:before="60" w:after="60"/>
            </w:pPr>
            <w:r>
              <w:t>RAN3</w:t>
            </w:r>
          </w:p>
        </w:tc>
        <w:tc>
          <w:tcPr>
            <w:tcW w:w="1037" w:type="dxa"/>
            <w:shd w:val="clear" w:color="auto" w:fill="FFD965" w:themeFill="accent4" w:themeFillTint="99"/>
          </w:tcPr>
          <w:p>
            <w:pPr>
              <w:spacing w:before="60" w:after="60"/>
            </w:pPr>
            <w:r>
              <w:t>#122</w:t>
            </w:r>
          </w:p>
        </w:tc>
        <w:tc>
          <w:tcPr>
            <w:tcW w:w="1170" w:type="dxa"/>
            <w:shd w:val="clear" w:color="auto" w:fill="FFD965" w:themeFill="accent4" w:themeFillTint="99"/>
          </w:tcPr>
          <w:p>
            <w:pPr>
              <w:spacing w:before="60" w:after="60"/>
            </w:pPr>
            <w:r>
              <w:t>Nov 2023</w:t>
            </w:r>
          </w:p>
        </w:tc>
        <w:tc>
          <w:tcPr>
            <w:tcW w:w="1080" w:type="dxa"/>
            <w:shd w:val="clear" w:color="auto" w:fill="FFD965" w:themeFill="accent4" w:themeFillTint="99"/>
          </w:tcPr>
          <w:p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5490" w:type="dxa"/>
            <w:shd w:val="clear" w:color="auto" w:fill="FFD965" w:themeFill="accent4" w:themeFillTint="99"/>
          </w:tcPr>
          <w:p>
            <w:pPr>
              <w:spacing w:before="60" w:after="60"/>
            </w:pPr>
            <w:r>
              <w:t>1. Continue discussion and make the final conclusion for the above topics</w:t>
            </w:r>
          </w:p>
          <w:p>
            <w:pPr>
              <w:spacing w:before="60" w:after="60"/>
            </w:pPr>
            <w:r>
              <w:t>2.Coordinate with other working groups e.g. RAN3/SA4/SA5/SA2/CT1, and send the LS if needed.</w:t>
            </w:r>
          </w:p>
          <w:p>
            <w:pPr>
              <w:spacing w:before="60" w:after="60"/>
            </w:pPr>
            <w:r>
              <w:t>3.Update BL CRs if needed.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00FF00"/>
          </w:tcPr>
          <w:p>
            <w:pPr>
              <w:spacing w:before="60" w:after="60"/>
            </w:pPr>
            <w:r>
              <w:t>RAN</w:t>
            </w:r>
          </w:p>
        </w:tc>
        <w:tc>
          <w:tcPr>
            <w:tcW w:w="1037" w:type="dxa"/>
            <w:shd w:val="clear" w:color="auto" w:fill="00FF00"/>
          </w:tcPr>
          <w:p>
            <w:pPr>
              <w:spacing w:before="60" w:after="60"/>
            </w:pPr>
            <w:r>
              <w:t>#102</w:t>
            </w:r>
          </w:p>
        </w:tc>
        <w:tc>
          <w:tcPr>
            <w:tcW w:w="1170" w:type="dxa"/>
            <w:shd w:val="clear" w:color="auto" w:fill="00FF00"/>
          </w:tcPr>
          <w:p>
            <w:pPr>
              <w:spacing w:before="60" w:after="60"/>
            </w:pPr>
            <w:r>
              <w:t>Dec 2023</w:t>
            </w:r>
          </w:p>
        </w:tc>
        <w:tc>
          <w:tcPr>
            <w:tcW w:w="1080" w:type="dxa"/>
            <w:shd w:val="clear" w:color="auto" w:fill="00FF00"/>
          </w:tcPr>
          <w:p>
            <w:pPr>
              <w:spacing w:before="60" w:after="60"/>
              <w:jc w:val="center"/>
            </w:pPr>
          </w:p>
        </w:tc>
        <w:tc>
          <w:tcPr>
            <w:tcW w:w="5490" w:type="dxa"/>
            <w:shd w:val="clear" w:color="auto" w:fill="00FF00"/>
          </w:tcPr>
          <w:p>
            <w:pPr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>Functional freeze</w:t>
            </w:r>
          </w:p>
        </w:tc>
      </w:tr>
    </w:tbl>
    <w:p/>
    <w:p>
      <w:pPr>
        <w:overflowPunct w:val="0"/>
        <w:autoSpaceDE w:val="0"/>
        <w:autoSpaceDN w:val="0"/>
        <w:adjustRightInd w:val="0"/>
        <w:jc w:val="both"/>
        <w:rPr>
          <w:rFonts w:eastAsia="宋体"/>
          <w:b/>
          <w:lang w:val="en-US" w:eastAsia="zh-CN"/>
        </w:rPr>
      </w:pPr>
      <w:r>
        <w:rPr>
          <w:rFonts w:eastAsia="宋体"/>
          <w:b/>
          <w:lang w:val="en-US" w:eastAsia="zh-CN" w:bidi="ar"/>
        </w:rPr>
        <w:t>Proposal</w:t>
      </w:r>
      <w:r>
        <w:rPr>
          <w:rFonts w:hint="eastAsia" w:eastAsia="宋体"/>
          <w:b/>
          <w:lang w:val="en-US" w:eastAsia="zh-CN" w:bidi="ar"/>
        </w:rPr>
        <w:t xml:space="preserve"> 1 </w:t>
      </w:r>
      <w:r>
        <w:rPr>
          <w:rFonts w:eastAsia="宋体"/>
          <w:b/>
          <w:lang w:val="en-US" w:eastAsia="zh-CN" w:bidi="ar"/>
        </w:rPr>
        <w:t>: RAN3 working group is kindly asked to endorse the workplan of RAN3 for NR QoE</w:t>
      </w:r>
      <w:r>
        <w:rPr>
          <w:rFonts w:hint="eastAsia" w:eastAsia="宋体"/>
          <w:b/>
          <w:lang w:val="en-US" w:eastAsia="zh-CN" w:bidi="ar"/>
        </w:rPr>
        <w:t xml:space="preserve"> enhancement</w:t>
      </w:r>
      <w:r>
        <w:rPr>
          <w:rFonts w:eastAsia="宋体"/>
          <w:b/>
          <w:lang w:val="en-US" w:eastAsia="zh-CN" w:bidi="ar"/>
        </w:rPr>
        <w:t xml:space="preserve"> WI.</w:t>
      </w:r>
    </w:p>
    <w:p>
      <w:pPr>
        <w:pStyle w:val="3"/>
        <w:rPr>
          <w:lang w:val="en-US" w:eastAsia="zh-CN"/>
        </w:rPr>
      </w:pPr>
      <w:r>
        <w:t>2.2</w:t>
      </w:r>
      <w:r>
        <w:tab/>
      </w:r>
      <w:r>
        <w:rPr>
          <w:rFonts w:hint="eastAsia"/>
          <w:lang w:val="en-US" w:eastAsia="zh-CN"/>
        </w:rPr>
        <w:t>BLCR</w:t>
      </w:r>
    </w:p>
    <w:p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The </w:t>
      </w:r>
      <w:r>
        <w:rPr>
          <w:rFonts w:hint="eastAsia"/>
          <w:lang w:eastAsia="zh-CN"/>
        </w:rPr>
        <w:t xml:space="preserve">BLCR Rapporteur assignments for R18 </w:t>
      </w:r>
      <w:r>
        <w:rPr>
          <w:rFonts w:hint="eastAsia"/>
          <w:lang w:val="en-US" w:eastAsia="zh-CN"/>
        </w:rPr>
        <w:t>NR QoE</w:t>
      </w:r>
      <w:r>
        <w:rPr>
          <w:rFonts w:hint="eastAsia"/>
          <w:lang w:eastAsia="zh-CN"/>
        </w:rPr>
        <w:t xml:space="preserve"> WI</w:t>
      </w:r>
      <w:r>
        <w:rPr>
          <w:rFonts w:hint="eastAsia"/>
          <w:lang w:val="en-US" w:eastAsia="zh-CN"/>
        </w:rPr>
        <w:t xml:space="preserve"> is listed as below:</w:t>
      </w:r>
    </w:p>
    <w:tbl>
      <w:tblPr>
        <w:tblStyle w:val="2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29"/>
        <w:gridCol w:w="43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29" w:type="dxa"/>
          </w:tcPr>
          <w:p>
            <w:pPr>
              <w:rPr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TS</w:t>
            </w:r>
          </w:p>
        </w:tc>
        <w:tc>
          <w:tcPr>
            <w:tcW w:w="4335" w:type="dxa"/>
          </w:tcPr>
          <w:p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 xml:space="preserve">BLCR </w:t>
            </w:r>
            <w:r>
              <w:rPr>
                <w:rFonts w:hint="eastAsia"/>
                <w:b/>
                <w:bCs/>
                <w:lang w:eastAsia="zh-CN"/>
              </w:rPr>
              <w:t>Rapporteur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29" w:type="dxa"/>
          </w:tcPr>
          <w:p>
            <w:r>
              <w:rPr>
                <w:rFonts w:hint="eastAsia"/>
              </w:rPr>
              <w:t>38.300</w:t>
            </w:r>
          </w:p>
        </w:tc>
        <w:tc>
          <w:tcPr>
            <w:tcW w:w="4335" w:type="dxa"/>
          </w:tcPr>
          <w:p>
            <w:r>
              <w:rPr>
                <w:rFonts w:hint="eastAsia"/>
              </w:rPr>
              <w:t>China Unicom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29" w:type="dxa"/>
          </w:tcPr>
          <w:p>
            <w:r>
              <w:rPr>
                <w:rFonts w:hint="eastAsia"/>
              </w:rPr>
              <w:t>38.306</w:t>
            </w:r>
          </w:p>
        </w:tc>
        <w:tc>
          <w:tcPr>
            <w:tcW w:w="4335" w:type="dxa"/>
          </w:tcPr>
          <w:p>
            <w:r>
              <w:rPr>
                <w:rFonts w:hint="eastAsia"/>
              </w:rPr>
              <w:t>CMCC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29" w:type="dxa"/>
          </w:tcPr>
          <w:p>
            <w:r>
              <w:rPr>
                <w:rFonts w:hint="eastAsia"/>
              </w:rPr>
              <w:t>38.331</w:t>
            </w:r>
          </w:p>
        </w:tc>
        <w:tc>
          <w:tcPr>
            <w:tcW w:w="4335" w:type="dxa"/>
          </w:tcPr>
          <w:p>
            <w:r>
              <w:rPr>
                <w:rFonts w:hint="eastAsia"/>
              </w:rPr>
              <w:t>Ericsson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29" w:type="dxa"/>
          </w:tcPr>
          <w:p>
            <w:r>
              <w:rPr>
                <w:rFonts w:hint="eastAsia"/>
              </w:rPr>
              <w:t>38.401</w:t>
            </w:r>
          </w:p>
        </w:tc>
        <w:tc>
          <w:tcPr>
            <w:tcW w:w="4335" w:type="dxa"/>
          </w:tcPr>
          <w:p>
            <w:r>
              <w:rPr>
                <w:rFonts w:hint="eastAsia"/>
              </w:rPr>
              <w:t>Samsung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29" w:type="dxa"/>
          </w:tcPr>
          <w:p>
            <w:r>
              <w:rPr>
                <w:rFonts w:hint="eastAsia"/>
              </w:rPr>
              <w:t>38.410</w:t>
            </w:r>
          </w:p>
        </w:tc>
        <w:tc>
          <w:tcPr>
            <w:tcW w:w="4335" w:type="dxa"/>
          </w:tcPr>
          <w:p>
            <w:r>
              <w:rPr>
                <w:rFonts w:hint="eastAsia"/>
              </w:rPr>
              <w:t>CATT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29" w:type="dxa"/>
          </w:tcPr>
          <w:p>
            <w:r>
              <w:rPr>
                <w:rFonts w:hint="eastAsia"/>
              </w:rPr>
              <w:t>38.413</w:t>
            </w:r>
          </w:p>
        </w:tc>
        <w:tc>
          <w:tcPr>
            <w:tcW w:w="4335" w:type="dxa"/>
          </w:tcPr>
          <w:p>
            <w:r>
              <w:rPr>
                <w:rFonts w:hint="eastAsia"/>
              </w:rPr>
              <w:t>Huawei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29" w:type="dxa"/>
          </w:tcPr>
          <w:p>
            <w:r>
              <w:rPr>
                <w:rFonts w:hint="eastAsia"/>
              </w:rPr>
              <w:t>38.420</w:t>
            </w:r>
          </w:p>
        </w:tc>
        <w:tc>
          <w:tcPr>
            <w:tcW w:w="4335" w:type="dxa"/>
          </w:tcPr>
          <w:p>
            <w:r>
              <w:rPr>
                <w:rFonts w:hint="eastAsia"/>
              </w:rPr>
              <w:t>Qualcomm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29" w:type="dxa"/>
          </w:tcPr>
          <w:p>
            <w:r>
              <w:rPr>
                <w:rFonts w:hint="eastAsia"/>
              </w:rPr>
              <w:t>38.423</w:t>
            </w:r>
          </w:p>
        </w:tc>
        <w:tc>
          <w:tcPr>
            <w:tcW w:w="4335" w:type="dxa"/>
          </w:tcPr>
          <w:p>
            <w:r>
              <w:rPr>
                <w:rFonts w:hint="eastAsia"/>
              </w:rPr>
              <w:t>Ericsson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29" w:type="dxa"/>
          </w:tcPr>
          <w:p>
            <w:r>
              <w:rPr>
                <w:rFonts w:hint="eastAsia"/>
              </w:rPr>
              <w:t>38.470</w:t>
            </w:r>
          </w:p>
        </w:tc>
        <w:tc>
          <w:tcPr>
            <w:tcW w:w="4335" w:type="dxa"/>
          </w:tcPr>
          <w:p>
            <w:r>
              <w:rPr>
                <w:rFonts w:hint="eastAsia"/>
              </w:rPr>
              <w:t>Lenovo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29" w:type="dxa"/>
          </w:tcPr>
          <w:p>
            <w:r>
              <w:rPr>
                <w:rFonts w:hint="eastAsia"/>
              </w:rPr>
              <w:t>38.473</w:t>
            </w:r>
          </w:p>
        </w:tc>
        <w:tc>
          <w:tcPr>
            <w:tcW w:w="4335" w:type="dxa"/>
          </w:tcPr>
          <w:p>
            <w:r>
              <w:rPr>
                <w:rFonts w:hint="eastAsia"/>
              </w:rPr>
              <w:t>ZTE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29" w:type="dxa"/>
          </w:tcPr>
          <w:p>
            <w:r>
              <w:rPr>
                <w:rFonts w:hint="eastAsia"/>
              </w:rPr>
              <w:t>37.340</w:t>
            </w:r>
          </w:p>
        </w:tc>
        <w:tc>
          <w:tcPr>
            <w:tcW w:w="4335" w:type="dxa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Nokia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29" w:type="dxa"/>
          </w:tcPr>
          <w:p>
            <w:r>
              <w:rPr>
                <w:rFonts w:hint="eastAsia"/>
              </w:rPr>
              <w:t>36.331</w:t>
            </w:r>
          </w:p>
        </w:tc>
        <w:tc>
          <w:tcPr>
            <w:tcW w:w="4335" w:type="dxa"/>
          </w:tcPr>
          <w:p>
            <w:r>
              <w:rPr>
                <w:rFonts w:hint="eastAsia"/>
              </w:rPr>
              <w:t>China Unicom</w:t>
            </w:r>
          </w:p>
        </w:tc>
      </w:tr>
    </w:tbl>
    <w:p/>
    <w:p>
      <w:r>
        <w:rPr>
          <w:rFonts w:eastAsia="宋体"/>
          <w:b/>
          <w:lang w:val="en-US" w:eastAsia="zh-CN" w:bidi="ar"/>
        </w:rPr>
        <w:t>Proposal</w:t>
      </w:r>
      <w:r>
        <w:rPr>
          <w:rFonts w:hint="eastAsia" w:eastAsia="宋体"/>
          <w:b/>
          <w:lang w:val="en-US" w:eastAsia="zh-CN" w:bidi="ar"/>
        </w:rPr>
        <w:t xml:space="preserve"> 2 </w:t>
      </w:r>
      <w:r>
        <w:rPr>
          <w:rFonts w:eastAsia="宋体"/>
          <w:b/>
          <w:lang w:val="en-US" w:eastAsia="zh-CN" w:bidi="ar"/>
        </w:rPr>
        <w:t xml:space="preserve">: </w:t>
      </w:r>
      <w:r>
        <w:rPr>
          <w:rFonts w:hint="eastAsia" w:eastAsia="宋体"/>
          <w:b/>
          <w:lang w:val="en-US" w:eastAsia="zh-CN" w:bidi="ar"/>
        </w:rPr>
        <w:t>RAN3 working group is kindly asked to endorse the BL CR rapporteurs for NR QoE enhancement WI.</w:t>
      </w:r>
    </w:p>
    <w:p>
      <w:pPr>
        <w:pStyle w:val="2"/>
      </w:pPr>
      <w:r>
        <w:t>References</w:t>
      </w:r>
    </w:p>
    <w:p>
      <w:pPr>
        <w:pStyle w:val="68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contextualSpacing w:val="0"/>
        <w:rPr>
          <w:lang w:val="en-US" w:eastAsia="zh-CN"/>
        </w:rPr>
      </w:pPr>
      <w:bookmarkStart w:id="0" w:name="_Ref490247806"/>
      <w:r>
        <w:rPr>
          <w:lang w:eastAsia="zh-CN"/>
        </w:rPr>
        <w:t>RP-2218</w:t>
      </w:r>
      <w:r>
        <w:rPr>
          <w:rFonts w:hint="eastAsia"/>
          <w:lang w:val="en-US" w:eastAsia="zh-CN"/>
        </w:rPr>
        <w:t>03</w:t>
      </w:r>
      <w:r>
        <w:rPr>
          <w:lang w:val="en-US" w:eastAsia="zh-CN"/>
        </w:rPr>
        <w:t>: Revised WID for NR</w:t>
      </w:r>
      <w:r>
        <w:rPr>
          <w:rFonts w:hint="eastAsia"/>
          <w:lang w:val="en-US" w:eastAsia="zh-CN"/>
        </w:rPr>
        <w:t xml:space="preserve"> QoE enhancement</w:t>
      </w:r>
      <w:r>
        <w:rPr>
          <w:lang w:val="en-US" w:eastAsia="zh-CN"/>
        </w:rPr>
        <w:t>; TSG RAN Meeting #96, Budapest, Hungary, June 6 - 9, 2022</w:t>
      </w:r>
    </w:p>
    <w:p>
      <w:pPr>
        <w:pStyle w:val="68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contextualSpacing w:val="0"/>
      </w:pPr>
      <w:r>
        <w:rPr>
          <w:lang w:eastAsia="zh-CN"/>
        </w:rPr>
        <w:t>RP-221060</w:t>
      </w:r>
      <w:r>
        <w:rPr>
          <w:lang w:val="en-US" w:eastAsia="zh-CN"/>
        </w:rPr>
        <w:t>: Draft Status of TU RAN1 to 4 after RAN#96 v01, Budapest, Hungary, June 6 - 9, 2022</w:t>
      </w:r>
      <w:bookmarkEnd w:id="0"/>
    </w:p>
    <w:p>
      <w:pPr>
        <w:overflowPunct w:val="0"/>
        <w:autoSpaceDE w:val="0"/>
        <w:autoSpaceDN w:val="0"/>
        <w:adjustRightInd w:val="0"/>
        <w:ind w:left="357"/>
        <w:textAlignment w:val="baseline"/>
      </w:pPr>
    </w:p>
    <w:sectPr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56651AB"/>
    <w:multiLevelType w:val="multilevel"/>
    <w:tmpl w:val="056651AB"/>
    <w:lvl w:ilvl="0" w:tentative="0">
      <w:start w:val="1"/>
      <w:numFmt w:val="bullet"/>
      <w:lvlText w:val=""/>
      <w:lvlJc w:val="left"/>
      <w:pPr>
        <w:ind w:left="420" w:hanging="420"/>
      </w:pPr>
      <w:rPr>
        <w:rFonts w:hint="default" w:ascii="Symbol" w:hAnsi="Symbol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1">
    <w:nsid w:val="0E927BD3"/>
    <w:multiLevelType w:val="singleLevel"/>
    <w:tmpl w:val="0E927BD3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30381003"/>
    <w:multiLevelType w:val="singleLevel"/>
    <w:tmpl w:val="30381003"/>
    <w:lvl w:ilvl="0" w:tentative="0">
      <w:start w:val="1"/>
      <w:numFmt w:val="decimal"/>
      <w:suff w:val="space"/>
      <w:lvlText w:val="%1."/>
      <w:lvlJc w:val="left"/>
    </w:lvl>
  </w:abstractNum>
  <w:abstractNum w:abstractNumId="3">
    <w:nsid w:val="36010ADE"/>
    <w:multiLevelType w:val="multilevel"/>
    <w:tmpl w:val="36010ADE"/>
    <w:lvl w:ilvl="0" w:tentative="0">
      <w:start w:val="1"/>
      <w:numFmt w:val="decimal"/>
      <w:lvlText w:val="[%1]"/>
      <w:lvlJc w:val="left"/>
      <w:pPr>
        <w:tabs>
          <w:tab w:val="left" w:pos="360"/>
        </w:tabs>
        <w:ind w:left="357" w:hanging="357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080"/>
        </w:tabs>
        <w:ind w:left="108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 w:tentative="0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 w:tentative="0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abstractNum w:abstractNumId="4">
    <w:nsid w:val="3DC3AC98"/>
    <w:multiLevelType w:val="singleLevel"/>
    <w:tmpl w:val="3DC3AC98"/>
    <w:lvl w:ilvl="0" w:tentative="0">
      <w:start w:val="1"/>
      <w:numFmt w:val="decimal"/>
      <w:suff w:val="space"/>
      <w:lvlText w:val="%1."/>
      <w:lvlJc w:val="left"/>
    </w:lvl>
  </w:abstractNum>
  <w:abstractNum w:abstractNumId="5">
    <w:nsid w:val="4EE279BF"/>
    <w:multiLevelType w:val="multilevel"/>
    <w:tmpl w:val="4EE279BF"/>
    <w:lvl w:ilvl="0" w:tentative="0">
      <w:start w:val="1"/>
      <w:numFmt w:val="bullet"/>
      <w:lvlText w:val="−"/>
      <w:lvlJc w:val="left"/>
      <w:pPr>
        <w:ind w:left="840" w:hanging="420"/>
      </w:pPr>
      <w:rPr>
        <w:rFonts w:hint="eastAsia" w:ascii="微软雅黑" w:hAnsi="微软雅黑" w:eastAsia="微软雅黑"/>
        <w:lang w:val="en-GB"/>
      </w:rPr>
    </w:lvl>
    <w:lvl w:ilvl="1" w:tentative="0">
      <w:start w:val="1"/>
      <w:numFmt w:val="bullet"/>
      <w:lvlText w:val=""/>
      <w:lvlJc w:val="left"/>
      <w:pPr>
        <w:ind w:left="126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68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0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2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94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78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00" w:hanging="420"/>
      </w:pPr>
      <w:rPr>
        <w:rFonts w:hint="default" w:ascii="Wingdings" w:hAnsi="Wingdings"/>
      </w:rPr>
    </w:lvl>
  </w:abstractNum>
  <w:abstractNum w:abstractNumId="6">
    <w:nsid w:val="521F44A7"/>
    <w:multiLevelType w:val="multilevel"/>
    <w:tmpl w:val="521F44A7"/>
    <w:lvl w:ilvl="0" w:tentative="0">
      <w:start w:val="1"/>
      <w:numFmt w:val="bullet"/>
      <w:pStyle w:val="80"/>
      <w:lvlText w:val=""/>
      <w:lvlJc w:val="left"/>
      <w:pPr>
        <w:tabs>
          <w:tab w:val="left" w:pos="1619"/>
        </w:tabs>
        <w:ind w:left="161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7">
    <w:nsid w:val="70146DC0"/>
    <w:multiLevelType w:val="multilevel"/>
    <w:tmpl w:val="70146DC0"/>
    <w:lvl w:ilvl="0" w:tentative="0">
      <w:start w:val="1"/>
      <w:numFmt w:val="bullet"/>
      <w:pStyle w:val="79"/>
      <w:lvlText w:val=""/>
      <w:lvlJc w:val="left"/>
      <w:pPr>
        <w:tabs>
          <w:tab w:val="left" w:pos="630"/>
        </w:tabs>
        <w:ind w:left="630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7"/>
  </w:num>
  <w:num w:numId="2">
    <w:abstractNumId w:val="6"/>
  </w:num>
  <w:num w:numId="3">
    <w:abstractNumId w:val="0"/>
  </w:num>
  <w:num w:numId="4">
    <w:abstractNumId w:val="5"/>
  </w:num>
  <w:num w:numId="5">
    <w:abstractNumId w:val="2"/>
  </w:num>
  <w:num w:numId="6">
    <w:abstractNumId w:val="1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32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0E4A"/>
    <w:rsid w:val="000039F6"/>
    <w:rsid w:val="0000409B"/>
    <w:rsid w:val="000064F6"/>
    <w:rsid w:val="00006EBD"/>
    <w:rsid w:val="00010161"/>
    <w:rsid w:val="00012887"/>
    <w:rsid w:val="00013C23"/>
    <w:rsid w:val="000147A7"/>
    <w:rsid w:val="000152D3"/>
    <w:rsid w:val="0001796A"/>
    <w:rsid w:val="00020686"/>
    <w:rsid w:val="00023FC6"/>
    <w:rsid w:val="00025CE4"/>
    <w:rsid w:val="00026FC4"/>
    <w:rsid w:val="000305FF"/>
    <w:rsid w:val="00030D3B"/>
    <w:rsid w:val="00030DC5"/>
    <w:rsid w:val="00030F55"/>
    <w:rsid w:val="0003101C"/>
    <w:rsid w:val="00032EA4"/>
    <w:rsid w:val="00033397"/>
    <w:rsid w:val="000338DD"/>
    <w:rsid w:val="00034BF8"/>
    <w:rsid w:val="00035677"/>
    <w:rsid w:val="000365C3"/>
    <w:rsid w:val="000368BE"/>
    <w:rsid w:val="0003767C"/>
    <w:rsid w:val="00037A01"/>
    <w:rsid w:val="00037AFB"/>
    <w:rsid w:val="00040095"/>
    <w:rsid w:val="0004017A"/>
    <w:rsid w:val="0004341F"/>
    <w:rsid w:val="00044ED2"/>
    <w:rsid w:val="00045625"/>
    <w:rsid w:val="0004707F"/>
    <w:rsid w:val="000516D8"/>
    <w:rsid w:val="0005270E"/>
    <w:rsid w:val="00056DB2"/>
    <w:rsid w:val="0006135D"/>
    <w:rsid w:val="00061505"/>
    <w:rsid w:val="00065659"/>
    <w:rsid w:val="00065D6B"/>
    <w:rsid w:val="00066096"/>
    <w:rsid w:val="00071167"/>
    <w:rsid w:val="000716A1"/>
    <w:rsid w:val="000732E0"/>
    <w:rsid w:val="00073EB1"/>
    <w:rsid w:val="00074261"/>
    <w:rsid w:val="0007762E"/>
    <w:rsid w:val="00077C88"/>
    <w:rsid w:val="00080512"/>
    <w:rsid w:val="000812F8"/>
    <w:rsid w:val="00084591"/>
    <w:rsid w:val="0008762B"/>
    <w:rsid w:val="00087E3D"/>
    <w:rsid w:val="00090401"/>
    <w:rsid w:val="00090468"/>
    <w:rsid w:val="000926D3"/>
    <w:rsid w:val="00093164"/>
    <w:rsid w:val="00096258"/>
    <w:rsid w:val="0009788E"/>
    <w:rsid w:val="000A050C"/>
    <w:rsid w:val="000A3F9B"/>
    <w:rsid w:val="000A5AD5"/>
    <w:rsid w:val="000B0C46"/>
    <w:rsid w:val="000B19D0"/>
    <w:rsid w:val="000B4D19"/>
    <w:rsid w:val="000B7BCF"/>
    <w:rsid w:val="000C0524"/>
    <w:rsid w:val="000C2CA3"/>
    <w:rsid w:val="000C2D34"/>
    <w:rsid w:val="000C415C"/>
    <w:rsid w:val="000C416C"/>
    <w:rsid w:val="000C4AA7"/>
    <w:rsid w:val="000C522B"/>
    <w:rsid w:val="000C5567"/>
    <w:rsid w:val="000C5DF5"/>
    <w:rsid w:val="000C77C8"/>
    <w:rsid w:val="000C7894"/>
    <w:rsid w:val="000D0B0C"/>
    <w:rsid w:val="000D137A"/>
    <w:rsid w:val="000D30A2"/>
    <w:rsid w:val="000D3C9D"/>
    <w:rsid w:val="000D58AB"/>
    <w:rsid w:val="000D6B39"/>
    <w:rsid w:val="000E427B"/>
    <w:rsid w:val="000E49BE"/>
    <w:rsid w:val="000E5617"/>
    <w:rsid w:val="000E6697"/>
    <w:rsid w:val="000F03B7"/>
    <w:rsid w:val="000F2F84"/>
    <w:rsid w:val="000F342D"/>
    <w:rsid w:val="000F5DDE"/>
    <w:rsid w:val="00101232"/>
    <w:rsid w:val="00101BA1"/>
    <w:rsid w:val="00102DAD"/>
    <w:rsid w:val="00104704"/>
    <w:rsid w:val="00106455"/>
    <w:rsid w:val="00107EE0"/>
    <w:rsid w:val="0011222A"/>
    <w:rsid w:val="001158B5"/>
    <w:rsid w:val="00116DE8"/>
    <w:rsid w:val="00120844"/>
    <w:rsid w:val="00120C85"/>
    <w:rsid w:val="001224F1"/>
    <w:rsid w:val="00122700"/>
    <w:rsid w:val="00123DB1"/>
    <w:rsid w:val="001241A8"/>
    <w:rsid w:val="00124B3D"/>
    <w:rsid w:val="00126209"/>
    <w:rsid w:val="00126D29"/>
    <w:rsid w:val="00130949"/>
    <w:rsid w:val="00131495"/>
    <w:rsid w:val="00134105"/>
    <w:rsid w:val="00135C51"/>
    <w:rsid w:val="00135EC2"/>
    <w:rsid w:val="00137B44"/>
    <w:rsid w:val="00140C86"/>
    <w:rsid w:val="0014488C"/>
    <w:rsid w:val="00145075"/>
    <w:rsid w:val="00146FB1"/>
    <w:rsid w:val="0014714F"/>
    <w:rsid w:val="0014751F"/>
    <w:rsid w:val="00147B8F"/>
    <w:rsid w:val="0015058A"/>
    <w:rsid w:val="00152357"/>
    <w:rsid w:val="001568A4"/>
    <w:rsid w:val="00157634"/>
    <w:rsid w:val="0015777C"/>
    <w:rsid w:val="00157B0B"/>
    <w:rsid w:val="0016098E"/>
    <w:rsid w:val="00160AF6"/>
    <w:rsid w:val="00161683"/>
    <w:rsid w:val="001619CF"/>
    <w:rsid w:val="00161D5F"/>
    <w:rsid w:val="0016224C"/>
    <w:rsid w:val="00163DF7"/>
    <w:rsid w:val="00163E1F"/>
    <w:rsid w:val="00167246"/>
    <w:rsid w:val="00167A87"/>
    <w:rsid w:val="00170050"/>
    <w:rsid w:val="00174173"/>
    <w:rsid w:val="001741A0"/>
    <w:rsid w:val="001767D8"/>
    <w:rsid w:val="001769F9"/>
    <w:rsid w:val="0017733D"/>
    <w:rsid w:val="0017736D"/>
    <w:rsid w:val="00181A75"/>
    <w:rsid w:val="001822E5"/>
    <w:rsid w:val="00182DE1"/>
    <w:rsid w:val="00183165"/>
    <w:rsid w:val="001833C6"/>
    <w:rsid w:val="00183953"/>
    <w:rsid w:val="00186DE6"/>
    <w:rsid w:val="00190C58"/>
    <w:rsid w:val="00194CD0"/>
    <w:rsid w:val="00196C23"/>
    <w:rsid w:val="001A2B4C"/>
    <w:rsid w:val="001A6D8E"/>
    <w:rsid w:val="001A7342"/>
    <w:rsid w:val="001B39BC"/>
    <w:rsid w:val="001B3D43"/>
    <w:rsid w:val="001B3DF2"/>
    <w:rsid w:val="001B49C9"/>
    <w:rsid w:val="001B560A"/>
    <w:rsid w:val="001B5FCC"/>
    <w:rsid w:val="001B6282"/>
    <w:rsid w:val="001B720E"/>
    <w:rsid w:val="001C01CB"/>
    <w:rsid w:val="001C0CD7"/>
    <w:rsid w:val="001C28B2"/>
    <w:rsid w:val="001C2B2E"/>
    <w:rsid w:val="001C595C"/>
    <w:rsid w:val="001D379F"/>
    <w:rsid w:val="001D3A7D"/>
    <w:rsid w:val="001D4FB0"/>
    <w:rsid w:val="001D599B"/>
    <w:rsid w:val="001D6CF3"/>
    <w:rsid w:val="001E284D"/>
    <w:rsid w:val="001E53A0"/>
    <w:rsid w:val="001E5C04"/>
    <w:rsid w:val="001E70D7"/>
    <w:rsid w:val="001F168B"/>
    <w:rsid w:val="001F1CFE"/>
    <w:rsid w:val="001F2E7F"/>
    <w:rsid w:val="001F34F3"/>
    <w:rsid w:val="001F5C44"/>
    <w:rsid w:val="001F5CC4"/>
    <w:rsid w:val="001F632B"/>
    <w:rsid w:val="001F7831"/>
    <w:rsid w:val="0020111A"/>
    <w:rsid w:val="002016BF"/>
    <w:rsid w:val="00201844"/>
    <w:rsid w:val="00201B08"/>
    <w:rsid w:val="002029A9"/>
    <w:rsid w:val="00203645"/>
    <w:rsid w:val="0020370C"/>
    <w:rsid w:val="00204045"/>
    <w:rsid w:val="0020425F"/>
    <w:rsid w:val="00204D63"/>
    <w:rsid w:val="00206ED3"/>
    <w:rsid w:val="00207079"/>
    <w:rsid w:val="00210E6B"/>
    <w:rsid w:val="0021353E"/>
    <w:rsid w:val="002138DD"/>
    <w:rsid w:val="00214E95"/>
    <w:rsid w:val="00215C7D"/>
    <w:rsid w:val="00216471"/>
    <w:rsid w:val="00216FA7"/>
    <w:rsid w:val="00221DC7"/>
    <w:rsid w:val="00221E06"/>
    <w:rsid w:val="00223AD3"/>
    <w:rsid w:val="00224198"/>
    <w:rsid w:val="002244A9"/>
    <w:rsid w:val="00225498"/>
    <w:rsid w:val="0022589F"/>
    <w:rsid w:val="0022606D"/>
    <w:rsid w:val="00226347"/>
    <w:rsid w:val="00233196"/>
    <w:rsid w:val="00233A4C"/>
    <w:rsid w:val="00235144"/>
    <w:rsid w:val="00242D19"/>
    <w:rsid w:val="0024485F"/>
    <w:rsid w:val="00245B7D"/>
    <w:rsid w:val="00250812"/>
    <w:rsid w:val="00250B04"/>
    <w:rsid w:val="0025406F"/>
    <w:rsid w:val="00256B66"/>
    <w:rsid w:val="00260AE7"/>
    <w:rsid w:val="00262113"/>
    <w:rsid w:val="00262EDD"/>
    <w:rsid w:val="0026614D"/>
    <w:rsid w:val="0027053F"/>
    <w:rsid w:val="00270F19"/>
    <w:rsid w:val="00271E30"/>
    <w:rsid w:val="00271E96"/>
    <w:rsid w:val="00272C79"/>
    <w:rsid w:val="002747EC"/>
    <w:rsid w:val="00274E85"/>
    <w:rsid w:val="0027537D"/>
    <w:rsid w:val="002779A1"/>
    <w:rsid w:val="002805EC"/>
    <w:rsid w:val="00281980"/>
    <w:rsid w:val="002828C0"/>
    <w:rsid w:val="002855BF"/>
    <w:rsid w:val="00290FC1"/>
    <w:rsid w:val="00293031"/>
    <w:rsid w:val="002956AA"/>
    <w:rsid w:val="002966A8"/>
    <w:rsid w:val="002A00A9"/>
    <w:rsid w:val="002A09FF"/>
    <w:rsid w:val="002A4AD1"/>
    <w:rsid w:val="002A717B"/>
    <w:rsid w:val="002B17AD"/>
    <w:rsid w:val="002B4AC3"/>
    <w:rsid w:val="002B69DE"/>
    <w:rsid w:val="002B7133"/>
    <w:rsid w:val="002B74FE"/>
    <w:rsid w:val="002C3919"/>
    <w:rsid w:val="002C6EDD"/>
    <w:rsid w:val="002C708A"/>
    <w:rsid w:val="002D10D9"/>
    <w:rsid w:val="002D2AB9"/>
    <w:rsid w:val="002D4340"/>
    <w:rsid w:val="002D50EB"/>
    <w:rsid w:val="002E13C5"/>
    <w:rsid w:val="002E1D57"/>
    <w:rsid w:val="002E2CD5"/>
    <w:rsid w:val="002E386F"/>
    <w:rsid w:val="002E3CCA"/>
    <w:rsid w:val="002E61FD"/>
    <w:rsid w:val="002E7B35"/>
    <w:rsid w:val="002F0D22"/>
    <w:rsid w:val="002F1ED3"/>
    <w:rsid w:val="002F267E"/>
    <w:rsid w:val="002F3C58"/>
    <w:rsid w:val="002F61D6"/>
    <w:rsid w:val="0030002C"/>
    <w:rsid w:val="003007BF"/>
    <w:rsid w:val="0030249C"/>
    <w:rsid w:val="00305ECA"/>
    <w:rsid w:val="00306271"/>
    <w:rsid w:val="00311E70"/>
    <w:rsid w:val="00313562"/>
    <w:rsid w:val="003136AE"/>
    <w:rsid w:val="00314064"/>
    <w:rsid w:val="00314429"/>
    <w:rsid w:val="0031467C"/>
    <w:rsid w:val="00316444"/>
    <w:rsid w:val="00316792"/>
    <w:rsid w:val="003169A2"/>
    <w:rsid w:val="003172DC"/>
    <w:rsid w:val="00320A6B"/>
    <w:rsid w:val="00320E41"/>
    <w:rsid w:val="0032112A"/>
    <w:rsid w:val="00321520"/>
    <w:rsid w:val="00322D89"/>
    <w:rsid w:val="00326069"/>
    <w:rsid w:val="00326242"/>
    <w:rsid w:val="00331D99"/>
    <w:rsid w:val="00335983"/>
    <w:rsid w:val="003360BD"/>
    <w:rsid w:val="00336957"/>
    <w:rsid w:val="00336CEE"/>
    <w:rsid w:val="00336E72"/>
    <w:rsid w:val="00337B1A"/>
    <w:rsid w:val="00340AC4"/>
    <w:rsid w:val="003414FC"/>
    <w:rsid w:val="003417CA"/>
    <w:rsid w:val="003424E1"/>
    <w:rsid w:val="00343C86"/>
    <w:rsid w:val="00344236"/>
    <w:rsid w:val="00344969"/>
    <w:rsid w:val="00344C13"/>
    <w:rsid w:val="003452AB"/>
    <w:rsid w:val="00346B5D"/>
    <w:rsid w:val="00346D47"/>
    <w:rsid w:val="00347001"/>
    <w:rsid w:val="00353EFF"/>
    <w:rsid w:val="003543AB"/>
    <w:rsid w:val="0035462D"/>
    <w:rsid w:val="00354E1B"/>
    <w:rsid w:val="003577E7"/>
    <w:rsid w:val="003603A9"/>
    <w:rsid w:val="00360AEC"/>
    <w:rsid w:val="00360E1A"/>
    <w:rsid w:val="003611C1"/>
    <w:rsid w:val="00362020"/>
    <w:rsid w:val="00362050"/>
    <w:rsid w:val="00365F68"/>
    <w:rsid w:val="0036720B"/>
    <w:rsid w:val="00371744"/>
    <w:rsid w:val="00372D36"/>
    <w:rsid w:val="00374BAF"/>
    <w:rsid w:val="00375A2E"/>
    <w:rsid w:val="00375CCC"/>
    <w:rsid w:val="00376792"/>
    <w:rsid w:val="00380A4A"/>
    <w:rsid w:val="00381FB6"/>
    <w:rsid w:val="00382A17"/>
    <w:rsid w:val="00382AC9"/>
    <w:rsid w:val="00382B15"/>
    <w:rsid w:val="003839E9"/>
    <w:rsid w:val="00383D39"/>
    <w:rsid w:val="00384E6A"/>
    <w:rsid w:val="003860EA"/>
    <w:rsid w:val="0038677D"/>
    <w:rsid w:val="0039145F"/>
    <w:rsid w:val="003921CE"/>
    <w:rsid w:val="00394322"/>
    <w:rsid w:val="00395806"/>
    <w:rsid w:val="003A1265"/>
    <w:rsid w:val="003A16C0"/>
    <w:rsid w:val="003A3EA0"/>
    <w:rsid w:val="003A40EE"/>
    <w:rsid w:val="003A415E"/>
    <w:rsid w:val="003A4664"/>
    <w:rsid w:val="003A4749"/>
    <w:rsid w:val="003A4DA4"/>
    <w:rsid w:val="003A4E37"/>
    <w:rsid w:val="003A50F8"/>
    <w:rsid w:val="003A5C13"/>
    <w:rsid w:val="003B1B8C"/>
    <w:rsid w:val="003B3B2C"/>
    <w:rsid w:val="003B3DFA"/>
    <w:rsid w:val="003B40AD"/>
    <w:rsid w:val="003B5BB7"/>
    <w:rsid w:val="003B6713"/>
    <w:rsid w:val="003B7AD1"/>
    <w:rsid w:val="003C0176"/>
    <w:rsid w:val="003C0FA8"/>
    <w:rsid w:val="003C1BCC"/>
    <w:rsid w:val="003C2271"/>
    <w:rsid w:val="003C4E37"/>
    <w:rsid w:val="003C6194"/>
    <w:rsid w:val="003C66DE"/>
    <w:rsid w:val="003D0659"/>
    <w:rsid w:val="003D0AEF"/>
    <w:rsid w:val="003D159B"/>
    <w:rsid w:val="003D1E78"/>
    <w:rsid w:val="003D2286"/>
    <w:rsid w:val="003D2B58"/>
    <w:rsid w:val="003D2C5B"/>
    <w:rsid w:val="003D3F2A"/>
    <w:rsid w:val="003D3FB5"/>
    <w:rsid w:val="003D561D"/>
    <w:rsid w:val="003D6072"/>
    <w:rsid w:val="003D7042"/>
    <w:rsid w:val="003E16BE"/>
    <w:rsid w:val="003E1F2D"/>
    <w:rsid w:val="003E4A6A"/>
    <w:rsid w:val="003E4DDA"/>
    <w:rsid w:val="003E588D"/>
    <w:rsid w:val="003E6C37"/>
    <w:rsid w:val="003E6D72"/>
    <w:rsid w:val="003F037E"/>
    <w:rsid w:val="003F1AF2"/>
    <w:rsid w:val="003F28F4"/>
    <w:rsid w:val="003F3E81"/>
    <w:rsid w:val="003F799F"/>
    <w:rsid w:val="00400113"/>
    <w:rsid w:val="00400AF9"/>
    <w:rsid w:val="00401520"/>
    <w:rsid w:val="00401855"/>
    <w:rsid w:val="004032C7"/>
    <w:rsid w:val="00405800"/>
    <w:rsid w:val="00410637"/>
    <w:rsid w:val="004123E8"/>
    <w:rsid w:val="00412662"/>
    <w:rsid w:val="0041296E"/>
    <w:rsid w:val="004174BD"/>
    <w:rsid w:val="00420392"/>
    <w:rsid w:val="004203A6"/>
    <w:rsid w:val="00421A80"/>
    <w:rsid w:val="004223D5"/>
    <w:rsid w:val="0042394C"/>
    <w:rsid w:val="004269D0"/>
    <w:rsid w:val="004275A9"/>
    <w:rsid w:val="00430D92"/>
    <w:rsid w:val="004316D5"/>
    <w:rsid w:val="0043393F"/>
    <w:rsid w:val="00435311"/>
    <w:rsid w:val="004378F1"/>
    <w:rsid w:val="00437E0C"/>
    <w:rsid w:val="00440AA6"/>
    <w:rsid w:val="00443341"/>
    <w:rsid w:val="004477E7"/>
    <w:rsid w:val="00447946"/>
    <w:rsid w:val="004522CC"/>
    <w:rsid w:val="00453473"/>
    <w:rsid w:val="00454656"/>
    <w:rsid w:val="00456872"/>
    <w:rsid w:val="00456B3D"/>
    <w:rsid w:val="00457661"/>
    <w:rsid w:val="00460045"/>
    <w:rsid w:val="00463569"/>
    <w:rsid w:val="00465CB0"/>
    <w:rsid w:val="00466468"/>
    <w:rsid w:val="004672EE"/>
    <w:rsid w:val="00471CDE"/>
    <w:rsid w:val="0047331C"/>
    <w:rsid w:val="00474C33"/>
    <w:rsid w:val="0047536C"/>
    <w:rsid w:val="00476CAD"/>
    <w:rsid w:val="00477455"/>
    <w:rsid w:val="004807E3"/>
    <w:rsid w:val="0048130D"/>
    <w:rsid w:val="004832C4"/>
    <w:rsid w:val="00483C1D"/>
    <w:rsid w:val="00485492"/>
    <w:rsid w:val="00485BDB"/>
    <w:rsid w:val="004864C2"/>
    <w:rsid w:val="00492258"/>
    <w:rsid w:val="00492558"/>
    <w:rsid w:val="0049656C"/>
    <w:rsid w:val="004972DD"/>
    <w:rsid w:val="004A0319"/>
    <w:rsid w:val="004A2B72"/>
    <w:rsid w:val="004A32F3"/>
    <w:rsid w:val="004A4700"/>
    <w:rsid w:val="004A59FA"/>
    <w:rsid w:val="004A68F4"/>
    <w:rsid w:val="004B20E3"/>
    <w:rsid w:val="004B39DD"/>
    <w:rsid w:val="004B41F8"/>
    <w:rsid w:val="004B5CED"/>
    <w:rsid w:val="004B68D7"/>
    <w:rsid w:val="004B7120"/>
    <w:rsid w:val="004C1531"/>
    <w:rsid w:val="004C1974"/>
    <w:rsid w:val="004C229D"/>
    <w:rsid w:val="004C2E68"/>
    <w:rsid w:val="004C4FDE"/>
    <w:rsid w:val="004C5A95"/>
    <w:rsid w:val="004C6BCC"/>
    <w:rsid w:val="004C7E7C"/>
    <w:rsid w:val="004D1DC6"/>
    <w:rsid w:val="004D3578"/>
    <w:rsid w:val="004D380D"/>
    <w:rsid w:val="004E0C79"/>
    <w:rsid w:val="004E213A"/>
    <w:rsid w:val="004E2917"/>
    <w:rsid w:val="004E383E"/>
    <w:rsid w:val="004E48C4"/>
    <w:rsid w:val="004F0DE1"/>
    <w:rsid w:val="004F10A5"/>
    <w:rsid w:val="004F156A"/>
    <w:rsid w:val="00502735"/>
    <w:rsid w:val="00502BC6"/>
    <w:rsid w:val="00503171"/>
    <w:rsid w:val="005037A0"/>
    <w:rsid w:val="00506C28"/>
    <w:rsid w:val="00511F56"/>
    <w:rsid w:val="0051299A"/>
    <w:rsid w:val="00516518"/>
    <w:rsid w:val="005169F2"/>
    <w:rsid w:val="0051770A"/>
    <w:rsid w:val="00522978"/>
    <w:rsid w:val="005234CD"/>
    <w:rsid w:val="00523FEE"/>
    <w:rsid w:val="00527DE0"/>
    <w:rsid w:val="00532A92"/>
    <w:rsid w:val="00534DA0"/>
    <w:rsid w:val="0053506A"/>
    <w:rsid w:val="00540007"/>
    <w:rsid w:val="00543E6C"/>
    <w:rsid w:val="00543F5F"/>
    <w:rsid w:val="00546749"/>
    <w:rsid w:val="00546CB4"/>
    <w:rsid w:val="0055050A"/>
    <w:rsid w:val="005506D7"/>
    <w:rsid w:val="00551ED5"/>
    <w:rsid w:val="00551ED6"/>
    <w:rsid w:val="00551F97"/>
    <w:rsid w:val="00552D11"/>
    <w:rsid w:val="00553021"/>
    <w:rsid w:val="0056076A"/>
    <w:rsid w:val="0056469D"/>
    <w:rsid w:val="0056480F"/>
    <w:rsid w:val="00565087"/>
    <w:rsid w:val="0056573F"/>
    <w:rsid w:val="00566566"/>
    <w:rsid w:val="005702AA"/>
    <w:rsid w:val="0057072F"/>
    <w:rsid w:val="00570858"/>
    <w:rsid w:val="0057085C"/>
    <w:rsid w:val="00571FB4"/>
    <w:rsid w:val="00573B7D"/>
    <w:rsid w:val="00573DDF"/>
    <w:rsid w:val="005740A5"/>
    <w:rsid w:val="0057551C"/>
    <w:rsid w:val="0057656C"/>
    <w:rsid w:val="00580A44"/>
    <w:rsid w:val="00580E96"/>
    <w:rsid w:val="00582CDB"/>
    <w:rsid w:val="00584EE9"/>
    <w:rsid w:val="005862E2"/>
    <w:rsid w:val="00586897"/>
    <w:rsid w:val="00586CF6"/>
    <w:rsid w:val="00587B48"/>
    <w:rsid w:val="005900CE"/>
    <w:rsid w:val="005920E6"/>
    <w:rsid w:val="00593B6E"/>
    <w:rsid w:val="005A0B84"/>
    <w:rsid w:val="005A14B6"/>
    <w:rsid w:val="005A166D"/>
    <w:rsid w:val="005A6916"/>
    <w:rsid w:val="005B1DC5"/>
    <w:rsid w:val="005B249B"/>
    <w:rsid w:val="005B3C9A"/>
    <w:rsid w:val="005B46AD"/>
    <w:rsid w:val="005C0207"/>
    <w:rsid w:val="005C15EC"/>
    <w:rsid w:val="005C2845"/>
    <w:rsid w:val="005C43EE"/>
    <w:rsid w:val="005C528A"/>
    <w:rsid w:val="005C7E45"/>
    <w:rsid w:val="005D5447"/>
    <w:rsid w:val="005D661E"/>
    <w:rsid w:val="005E1A07"/>
    <w:rsid w:val="005E5D4F"/>
    <w:rsid w:val="005E6A6C"/>
    <w:rsid w:val="005F071B"/>
    <w:rsid w:val="005F21F1"/>
    <w:rsid w:val="005F2EDF"/>
    <w:rsid w:val="005F3692"/>
    <w:rsid w:val="005F4E8E"/>
    <w:rsid w:val="005F70C3"/>
    <w:rsid w:val="0060164A"/>
    <w:rsid w:val="00602641"/>
    <w:rsid w:val="00603219"/>
    <w:rsid w:val="00605118"/>
    <w:rsid w:val="006067A4"/>
    <w:rsid w:val="006112AF"/>
    <w:rsid w:val="00611566"/>
    <w:rsid w:val="00613340"/>
    <w:rsid w:val="00614EE6"/>
    <w:rsid w:val="00615CCD"/>
    <w:rsid w:val="00621140"/>
    <w:rsid w:val="006211DA"/>
    <w:rsid w:val="00621371"/>
    <w:rsid w:val="00623713"/>
    <w:rsid w:val="00623A25"/>
    <w:rsid w:val="00626696"/>
    <w:rsid w:val="0062739F"/>
    <w:rsid w:val="00631DBD"/>
    <w:rsid w:val="00632222"/>
    <w:rsid w:val="00635F47"/>
    <w:rsid w:val="00641F14"/>
    <w:rsid w:val="0064327C"/>
    <w:rsid w:val="0064411C"/>
    <w:rsid w:val="006454FE"/>
    <w:rsid w:val="00645D44"/>
    <w:rsid w:val="006465F3"/>
    <w:rsid w:val="00646D99"/>
    <w:rsid w:val="00647E8B"/>
    <w:rsid w:val="00650084"/>
    <w:rsid w:val="00651125"/>
    <w:rsid w:val="00651A6B"/>
    <w:rsid w:val="00652646"/>
    <w:rsid w:val="006531CD"/>
    <w:rsid w:val="00656910"/>
    <w:rsid w:val="006600CD"/>
    <w:rsid w:val="00660764"/>
    <w:rsid w:val="00662592"/>
    <w:rsid w:val="0066344B"/>
    <w:rsid w:val="00665BE7"/>
    <w:rsid w:val="00666483"/>
    <w:rsid w:val="00666DD5"/>
    <w:rsid w:val="006678B0"/>
    <w:rsid w:val="00670FA9"/>
    <w:rsid w:val="00672E6C"/>
    <w:rsid w:val="006731E0"/>
    <w:rsid w:val="006762DC"/>
    <w:rsid w:val="0068064C"/>
    <w:rsid w:val="00680C10"/>
    <w:rsid w:val="00681379"/>
    <w:rsid w:val="006829F2"/>
    <w:rsid w:val="00682D58"/>
    <w:rsid w:val="006856CF"/>
    <w:rsid w:val="006901D6"/>
    <w:rsid w:val="00692FC3"/>
    <w:rsid w:val="00693373"/>
    <w:rsid w:val="00694012"/>
    <w:rsid w:val="00694D2A"/>
    <w:rsid w:val="006965CD"/>
    <w:rsid w:val="00696DF2"/>
    <w:rsid w:val="00697858"/>
    <w:rsid w:val="006A1436"/>
    <w:rsid w:val="006A180F"/>
    <w:rsid w:val="006A334F"/>
    <w:rsid w:val="006A456D"/>
    <w:rsid w:val="006A5153"/>
    <w:rsid w:val="006A54BE"/>
    <w:rsid w:val="006A6944"/>
    <w:rsid w:val="006B0254"/>
    <w:rsid w:val="006B4D84"/>
    <w:rsid w:val="006B605E"/>
    <w:rsid w:val="006B6466"/>
    <w:rsid w:val="006B7943"/>
    <w:rsid w:val="006C4CC8"/>
    <w:rsid w:val="006C6225"/>
    <w:rsid w:val="006C66D8"/>
    <w:rsid w:val="006D0C80"/>
    <w:rsid w:val="006D0EC9"/>
    <w:rsid w:val="006D1E24"/>
    <w:rsid w:val="006D448F"/>
    <w:rsid w:val="006D4CB0"/>
    <w:rsid w:val="006D7D62"/>
    <w:rsid w:val="006E08C3"/>
    <w:rsid w:val="006E1417"/>
    <w:rsid w:val="006E1583"/>
    <w:rsid w:val="006E4365"/>
    <w:rsid w:val="006E5AD2"/>
    <w:rsid w:val="006E5ED2"/>
    <w:rsid w:val="006E7397"/>
    <w:rsid w:val="006F0D09"/>
    <w:rsid w:val="006F0EE0"/>
    <w:rsid w:val="006F1C88"/>
    <w:rsid w:val="006F25E4"/>
    <w:rsid w:val="006F32EA"/>
    <w:rsid w:val="006F47F6"/>
    <w:rsid w:val="006F5D11"/>
    <w:rsid w:val="006F6A2C"/>
    <w:rsid w:val="006F6E95"/>
    <w:rsid w:val="006F78E6"/>
    <w:rsid w:val="00702AAA"/>
    <w:rsid w:val="00702F97"/>
    <w:rsid w:val="00704C10"/>
    <w:rsid w:val="00705D88"/>
    <w:rsid w:val="00710201"/>
    <w:rsid w:val="0071066B"/>
    <w:rsid w:val="00716280"/>
    <w:rsid w:val="0071689E"/>
    <w:rsid w:val="00717A1C"/>
    <w:rsid w:val="0072014D"/>
    <w:rsid w:val="00721FCB"/>
    <w:rsid w:val="00727896"/>
    <w:rsid w:val="00730422"/>
    <w:rsid w:val="00734A5B"/>
    <w:rsid w:val="00734CEE"/>
    <w:rsid w:val="00735E81"/>
    <w:rsid w:val="00735F8A"/>
    <w:rsid w:val="007418B7"/>
    <w:rsid w:val="00741E7A"/>
    <w:rsid w:val="00744E76"/>
    <w:rsid w:val="007460EF"/>
    <w:rsid w:val="00747A03"/>
    <w:rsid w:val="00747D0A"/>
    <w:rsid w:val="007504A9"/>
    <w:rsid w:val="0075199C"/>
    <w:rsid w:val="00753591"/>
    <w:rsid w:val="007542F1"/>
    <w:rsid w:val="00757D40"/>
    <w:rsid w:val="007636D3"/>
    <w:rsid w:val="007658B7"/>
    <w:rsid w:val="007665C4"/>
    <w:rsid w:val="0076792F"/>
    <w:rsid w:val="00771416"/>
    <w:rsid w:val="00771BCD"/>
    <w:rsid w:val="00773ACB"/>
    <w:rsid w:val="00776516"/>
    <w:rsid w:val="00776C2C"/>
    <w:rsid w:val="007811A2"/>
    <w:rsid w:val="00781F0F"/>
    <w:rsid w:val="00782C71"/>
    <w:rsid w:val="00783E27"/>
    <w:rsid w:val="0078448D"/>
    <w:rsid w:val="007846F6"/>
    <w:rsid w:val="007851AB"/>
    <w:rsid w:val="00785DE8"/>
    <w:rsid w:val="00786052"/>
    <w:rsid w:val="00786A8D"/>
    <w:rsid w:val="00786DED"/>
    <w:rsid w:val="0078727C"/>
    <w:rsid w:val="00787E4E"/>
    <w:rsid w:val="0079049D"/>
    <w:rsid w:val="00793504"/>
    <w:rsid w:val="00793A53"/>
    <w:rsid w:val="00793CCC"/>
    <w:rsid w:val="00793E48"/>
    <w:rsid w:val="00794590"/>
    <w:rsid w:val="0079664E"/>
    <w:rsid w:val="007A0634"/>
    <w:rsid w:val="007A2383"/>
    <w:rsid w:val="007A5735"/>
    <w:rsid w:val="007A72E5"/>
    <w:rsid w:val="007B18D8"/>
    <w:rsid w:val="007B3472"/>
    <w:rsid w:val="007B5408"/>
    <w:rsid w:val="007B579C"/>
    <w:rsid w:val="007B5C20"/>
    <w:rsid w:val="007B7D44"/>
    <w:rsid w:val="007C095F"/>
    <w:rsid w:val="007C1897"/>
    <w:rsid w:val="007C2012"/>
    <w:rsid w:val="007C2977"/>
    <w:rsid w:val="007C67D2"/>
    <w:rsid w:val="007C77C4"/>
    <w:rsid w:val="007D107C"/>
    <w:rsid w:val="007D1FD5"/>
    <w:rsid w:val="007D309E"/>
    <w:rsid w:val="007D4B38"/>
    <w:rsid w:val="007D5BED"/>
    <w:rsid w:val="007D5EF6"/>
    <w:rsid w:val="007D692E"/>
    <w:rsid w:val="007D7D25"/>
    <w:rsid w:val="007E4556"/>
    <w:rsid w:val="007E457A"/>
    <w:rsid w:val="007E515A"/>
    <w:rsid w:val="007F04EE"/>
    <w:rsid w:val="007F14AD"/>
    <w:rsid w:val="007F31EB"/>
    <w:rsid w:val="007F3EE4"/>
    <w:rsid w:val="007F7268"/>
    <w:rsid w:val="007F7342"/>
    <w:rsid w:val="00800D57"/>
    <w:rsid w:val="008028A4"/>
    <w:rsid w:val="0080333D"/>
    <w:rsid w:val="00805E0B"/>
    <w:rsid w:val="00806310"/>
    <w:rsid w:val="00812B0C"/>
    <w:rsid w:val="00813245"/>
    <w:rsid w:val="00815694"/>
    <w:rsid w:val="00815852"/>
    <w:rsid w:val="008168B6"/>
    <w:rsid w:val="00816D27"/>
    <w:rsid w:val="00817883"/>
    <w:rsid w:val="00820AB0"/>
    <w:rsid w:val="0082162B"/>
    <w:rsid w:val="00821AED"/>
    <w:rsid w:val="00822184"/>
    <w:rsid w:val="00823732"/>
    <w:rsid w:val="00823DA9"/>
    <w:rsid w:val="00824755"/>
    <w:rsid w:val="008265B1"/>
    <w:rsid w:val="008267DC"/>
    <w:rsid w:val="008324A5"/>
    <w:rsid w:val="00834604"/>
    <w:rsid w:val="00834A6D"/>
    <w:rsid w:val="0084564D"/>
    <w:rsid w:val="00845E80"/>
    <w:rsid w:val="0084763A"/>
    <w:rsid w:val="00850BBB"/>
    <w:rsid w:val="00854A4F"/>
    <w:rsid w:val="00856127"/>
    <w:rsid w:val="0085698E"/>
    <w:rsid w:val="008571AD"/>
    <w:rsid w:val="00857756"/>
    <w:rsid w:val="00860820"/>
    <w:rsid w:val="00860D01"/>
    <w:rsid w:val="0086528E"/>
    <w:rsid w:val="00867D0B"/>
    <w:rsid w:val="00867F46"/>
    <w:rsid w:val="00870B46"/>
    <w:rsid w:val="00873320"/>
    <w:rsid w:val="00874665"/>
    <w:rsid w:val="008765A4"/>
    <w:rsid w:val="008768CA"/>
    <w:rsid w:val="008773D4"/>
    <w:rsid w:val="00877EF9"/>
    <w:rsid w:val="00880559"/>
    <w:rsid w:val="00880FF7"/>
    <w:rsid w:val="008811ED"/>
    <w:rsid w:val="00881CEB"/>
    <w:rsid w:val="00882AE0"/>
    <w:rsid w:val="00882C69"/>
    <w:rsid w:val="00884F4E"/>
    <w:rsid w:val="00886422"/>
    <w:rsid w:val="00887C52"/>
    <w:rsid w:val="008916F0"/>
    <w:rsid w:val="00893663"/>
    <w:rsid w:val="00894069"/>
    <w:rsid w:val="008A07BA"/>
    <w:rsid w:val="008A15D5"/>
    <w:rsid w:val="008A203C"/>
    <w:rsid w:val="008A27FC"/>
    <w:rsid w:val="008A2D12"/>
    <w:rsid w:val="008B192A"/>
    <w:rsid w:val="008B44F1"/>
    <w:rsid w:val="008B5306"/>
    <w:rsid w:val="008B681A"/>
    <w:rsid w:val="008C0E06"/>
    <w:rsid w:val="008C1A63"/>
    <w:rsid w:val="008C20F7"/>
    <w:rsid w:val="008C35C7"/>
    <w:rsid w:val="008C3F92"/>
    <w:rsid w:val="008C42B8"/>
    <w:rsid w:val="008C7888"/>
    <w:rsid w:val="008D05CE"/>
    <w:rsid w:val="008D0839"/>
    <w:rsid w:val="008D1CD5"/>
    <w:rsid w:val="008D2258"/>
    <w:rsid w:val="008D467A"/>
    <w:rsid w:val="008D6B41"/>
    <w:rsid w:val="008E131E"/>
    <w:rsid w:val="008E345E"/>
    <w:rsid w:val="008E3B19"/>
    <w:rsid w:val="008E412B"/>
    <w:rsid w:val="008F2039"/>
    <w:rsid w:val="008F2BF7"/>
    <w:rsid w:val="008F2E9A"/>
    <w:rsid w:val="00901335"/>
    <w:rsid w:val="0090187C"/>
    <w:rsid w:val="009024E8"/>
    <w:rsid w:val="0090271F"/>
    <w:rsid w:val="00902DB9"/>
    <w:rsid w:val="0090466A"/>
    <w:rsid w:val="009062D3"/>
    <w:rsid w:val="00907DD2"/>
    <w:rsid w:val="00911DEA"/>
    <w:rsid w:val="00912CD4"/>
    <w:rsid w:val="00917ABE"/>
    <w:rsid w:val="0092024A"/>
    <w:rsid w:val="00920442"/>
    <w:rsid w:val="00921F58"/>
    <w:rsid w:val="00922DC1"/>
    <w:rsid w:val="0092322B"/>
    <w:rsid w:val="00924D2C"/>
    <w:rsid w:val="0092657D"/>
    <w:rsid w:val="00931360"/>
    <w:rsid w:val="00931AF4"/>
    <w:rsid w:val="00933F83"/>
    <w:rsid w:val="00936071"/>
    <w:rsid w:val="00940212"/>
    <w:rsid w:val="0094197F"/>
    <w:rsid w:val="00942E6A"/>
    <w:rsid w:val="00942EC2"/>
    <w:rsid w:val="0094798C"/>
    <w:rsid w:val="00952A0E"/>
    <w:rsid w:val="0095306B"/>
    <w:rsid w:val="0095382B"/>
    <w:rsid w:val="00955470"/>
    <w:rsid w:val="00956A9D"/>
    <w:rsid w:val="00957D2B"/>
    <w:rsid w:val="00957E6F"/>
    <w:rsid w:val="00961B32"/>
    <w:rsid w:val="00962174"/>
    <w:rsid w:val="0096294B"/>
    <w:rsid w:val="00964344"/>
    <w:rsid w:val="009656AD"/>
    <w:rsid w:val="009658F8"/>
    <w:rsid w:val="009709BE"/>
    <w:rsid w:val="00970DB3"/>
    <w:rsid w:val="00971212"/>
    <w:rsid w:val="009738F6"/>
    <w:rsid w:val="00974940"/>
    <w:rsid w:val="00974B05"/>
    <w:rsid w:val="00974BB0"/>
    <w:rsid w:val="0097702E"/>
    <w:rsid w:val="009777CF"/>
    <w:rsid w:val="0098205E"/>
    <w:rsid w:val="00983387"/>
    <w:rsid w:val="00983F29"/>
    <w:rsid w:val="00984778"/>
    <w:rsid w:val="009851DF"/>
    <w:rsid w:val="009859BF"/>
    <w:rsid w:val="009871BA"/>
    <w:rsid w:val="009877F1"/>
    <w:rsid w:val="00990913"/>
    <w:rsid w:val="00991EA8"/>
    <w:rsid w:val="00993EBD"/>
    <w:rsid w:val="009951D6"/>
    <w:rsid w:val="00995433"/>
    <w:rsid w:val="00995C57"/>
    <w:rsid w:val="00996146"/>
    <w:rsid w:val="00996BBA"/>
    <w:rsid w:val="009A0AF3"/>
    <w:rsid w:val="009A1A7C"/>
    <w:rsid w:val="009A1E95"/>
    <w:rsid w:val="009A36A2"/>
    <w:rsid w:val="009A443C"/>
    <w:rsid w:val="009A50C5"/>
    <w:rsid w:val="009A7362"/>
    <w:rsid w:val="009A7F1A"/>
    <w:rsid w:val="009B07CD"/>
    <w:rsid w:val="009B113E"/>
    <w:rsid w:val="009B16DE"/>
    <w:rsid w:val="009B2074"/>
    <w:rsid w:val="009B6E5C"/>
    <w:rsid w:val="009B706A"/>
    <w:rsid w:val="009B70A3"/>
    <w:rsid w:val="009B73A2"/>
    <w:rsid w:val="009C19E9"/>
    <w:rsid w:val="009C2148"/>
    <w:rsid w:val="009C427D"/>
    <w:rsid w:val="009C4B6F"/>
    <w:rsid w:val="009D0363"/>
    <w:rsid w:val="009D0CD3"/>
    <w:rsid w:val="009D13CA"/>
    <w:rsid w:val="009D2DA6"/>
    <w:rsid w:val="009D3714"/>
    <w:rsid w:val="009D4FAF"/>
    <w:rsid w:val="009D5E99"/>
    <w:rsid w:val="009D63AB"/>
    <w:rsid w:val="009D7755"/>
    <w:rsid w:val="009E079A"/>
    <w:rsid w:val="009E1A17"/>
    <w:rsid w:val="009E2AA6"/>
    <w:rsid w:val="009E3C02"/>
    <w:rsid w:val="009E3D1A"/>
    <w:rsid w:val="009E44ED"/>
    <w:rsid w:val="009E747C"/>
    <w:rsid w:val="009E79BE"/>
    <w:rsid w:val="009F07C1"/>
    <w:rsid w:val="009F10CA"/>
    <w:rsid w:val="009F1F82"/>
    <w:rsid w:val="009F2F08"/>
    <w:rsid w:val="009F7E84"/>
    <w:rsid w:val="00A03B42"/>
    <w:rsid w:val="00A05DE2"/>
    <w:rsid w:val="00A067FE"/>
    <w:rsid w:val="00A10F02"/>
    <w:rsid w:val="00A11888"/>
    <w:rsid w:val="00A14E25"/>
    <w:rsid w:val="00A15FB2"/>
    <w:rsid w:val="00A204CA"/>
    <w:rsid w:val="00A207D2"/>
    <w:rsid w:val="00A215F6"/>
    <w:rsid w:val="00A23966"/>
    <w:rsid w:val="00A23AC0"/>
    <w:rsid w:val="00A242F5"/>
    <w:rsid w:val="00A25A22"/>
    <w:rsid w:val="00A26593"/>
    <w:rsid w:val="00A300A0"/>
    <w:rsid w:val="00A30E3E"/>
    <w:rsid w:val="00A31AB2"/>
    <w:rsid w:val="00A31D17"/>
    <w:rsid w:val="00A32493"/>
    <w:rsid w:val="00A32E13"/>
    <w:rsid w:val="00A35830"/>
    <w:rsid w:val="00A423AE"/>
    <w:rsid w:val="00A43A2E"/>
    <w:rsid w:val="00A44AE9"/>
    <w:rsid w:val="00A45665"/>
    <w:rsid w:val="00A52986"/>
    <w:rsid w:val="00A52CC6"/>
    <w:rsid w:val="00A53724"/>
    <w:rsid w:val="00A54875"/>
    <w:rsid w:val="00A55549"/>
    <w:rsid w:val="00A55928"/>
    <w:rsid w:val="00A566A2"/>
    <w:rsid w:val="00A62BFC"/>
    <w:rsid w:val="00A6496B"/>
    <w:rsid w:val="00A65425"/>
    <w:rsid w:val="00A65C1F"/>
    <w:rsid w:val="00A718DA"/>
    <w:rsid w:val="00A7247E"/>
    <w:rsid w:val="00A743AC"/>
    <w:rsid w:val="00A74826"/>
    <w:rsid w:val="00A74C06"/>
    <w:rsid w:val="00A75305"/>
    <w:rsid w:val="00A753E1"/>
    <w:rsid w:val="00A77F59"/>
    <w:rsid w:val="00A80334"/>
    <w:rsid w:val="00A82346"/>
    <w:rsid w:val="00A825BF"/>
    <w:rsid w:val="00A845B8"/>
    <w:rsid w:val="00A85BB3"/>
    <w:rsid w:val="00A87209"/>
    <w:rsid w:val="00A951F0"/>
    <w:rsid w:val="00A954D8"/>
    <w:rsid w:val="00A9671C"/>
    <w:rsid w:val="00A9769E"/>
    <w:rsid w:val="00A97749"/>
    <w:rsid w:val="00AA0358"/>
    <w:rsid w:val="00AA1553"/>
    <w:rsid w:val="00AA4494"/>
    <w:rsid w:val="00AA57EE"/>
    <w:rsid w:val="00AA7EC1"/>
    <w:rsid w:val="00AB0409"/>
    <w:rsid w:val="00AB0FA6"/>
    <w:rsid w:val="00AB1408"/>
    <w:rsid w:val="00AB163A"/>
    <w:rsid w:val="00AB17A0"/>
    <w:rsid w:val="00AB1A97"/>
    <w:rsid w:val="00AB27C6"/>
    <w:rsid w:val="00AB4F3D"/>
    <w:rsid w:val="00AB504B"/>
    <w:rsid w:val="00AB50D6"/>
    <w:rsid w:val="00AB5A5A"/>
    <w:rsid w:val="00AB71C6"/>
    <w:rsid w:val="00AB7EA2"/>
    <w:rsid w:val="00AC1E31"/>
    <w:rsid w:val="00AC26C2"/>
    <w:rsid w:val="00AC3E63"/>
    <w:rsid w:val="00AC4320"/>
    <w:rsid w:val="00AC53FE"/>
    <w:rsid w:val="00AD0C68"/>
    <w:rsid w:val="00AD0F1D"/>
    <w:rsid w:val="00AD217F"/>
    <w:rsid w:val="00AD2619"/>
    <w:rsid w:val="00AD5427"/>
    <w:rsid w:val="00AD5B72"/>
    <w:rsid w:val="00AD7EB7"/>
    <w:rsid w:val="00AE06A4"/>
    <w:rsid w:val="00AE095D"/>
    <w:rsid w:val="00AE1871"/>
    <w:rsid w:val="00AE26C0"/>
    <w:rsid w:val="00AE32B8"/>
    <w:rsid w:val="00AE35AC"/>
    <w:rsid w:val="00AE5998"/>
    <w:rsid w:val="00AE5A3F"/>
    <w:rsid w:val="00AE67B2"/>
    <w:rsid w:val="00AE7394"/>
    <w:rsid w:val="00AE7935"/>
    <w:rsid w:val="00AF1C7D"/>
    <w:rsid w:val="00AF20A6"/>
    <w:rsid w:val="00AF2778"/>
    <w:rsid w:val="00AF3563"/>
    <w:rsid w:val="00AF4142"/>
    <w:rsid w:val="00AF6272"/>
    <w:rsid w:val="00B002EA"/>
    <w:rsid w:val="00B024E5"/>
    <w:rsid w:val="00B033FA"/>
    <w:rsid w:val="00B0343F"/>
    <w:rsid w:val="00B046A0"/>
    <w:rsid w:val="00B0648D"/>
    <w:rsid w:val="00B07AAA"/>
    <w:rsid w:val="00B10754"/>
    <w:rsid w:val="00B11743"/>
    <w:rsid w:val="00B1192D"/>
    <w:rsid w:val="00B11CB0"/>
    <w:rsid w:val="00B15449"/>
    <w:rsid w:val="00B154C9"/>
    <w:rsid w:val="00B15627"/>
    <w:rsid w:val="00B15ADA"/>
    <w:rsid w:val="00B1608D"/>
    <w:rsid w:val="00B1608F"/>
    <w:rsid w:val="00B2397F"/>
    <w:rsid w:val="00B2755F"/>
    <w:rsid w:val="00B30ADA"/>
    <w:rsid w:val="00B331AE"/>
    <w:rsid w:val="00B359B7"/>
    <w:rsid w:val="00B36133"/>
    <w:rsid w:val="00B36BDD"/>
    <w:rsid w:val="00B40C67"/>
    <w:rsid w:val="00B42667"/>
    <w:rsid w:val="00B444B8"/>
    <w:rsid w:val="00B4746E"/>
    <w:rsid w:val="00B47E40"/>
    <w:rsid w:val="00B47FD1"/>
    <w:rsid w:val="00B516BB"/>
    <w:rsid w:val="00B51B0A"/>
    <w:rsid w:val="00B5205D"/>
    <w:rsid w:val="00B54665"/>
    <w:rsid w:val="00B55DD3"/>
    <w:rsid w:val="00B61417"/>
    <w:rsid w:val="00B62989"/>
    <w:rsid w:val="00B633C3"/>
    <w:rsid w:val="00B6406E"/>
    <w:rsid w:val="00B642B6"/>
    <w:rsid w:val="00B65E42"/>
    <w:rsid w:val="00B6646D"/>
    <w:rsid w:val="00B6737A"/>
    <w:rsid w:val="00B701A0"/>
    <w:rsid w:val="00B72CC9"/>
    <w:rsid w:val="00B73D0C"/>
    <w:rsid w:val="00B74842"/>
    <w:rsid w:val="00B751DC"/>
    <w:rsid w:val="00B8019B"/>
    <w:rsid w:val="00B82DD7"/>
    <w:rsid w:val="00B83F9A"/>
    <w:rsid w:val="00B84B18"/>
    <w:rsid w:val="00B86A6B"/>
    <w:rsid w:val="00B8739B"/>
    <w:rsid w:val="00B912B1"/>
    <w:rsid w:val="00B96CCF"/>
    <w:rsid w:val="00B97C71"/>
    <w:rsid w:val="00B97CBC"/>
    <w:rsid w:val="00BA2ABC"/>
    <w:rsid w:val="00BA3230"/>
    <w:rsid w:val="00BA37B5"/>
    <w:rsid w:val="00BA3913"/>
    <w:rsid w:val="00BA601F"/>
    <w:rsid w:val="00BA6B3D"/>
    <w:rsid w:val="00BA7FDD"/>
    <w:rsid w:val="00BB1993"/>
    <w:rsid w:val="00BB1D64"/>
    <w:rsid w:val="00BB5E22"/>
    <w:rsid w:val="00BC02B4"/>
    <w:rsid w:val="00BC136A"/>
    <w:rsid w:val="00BC175D"/>
    <w:rsid w:val="00BC1BBC"/>
    <w:rsid w:val="00BC1C99"/>
    <w:rsid w:val="00BC2D6C"/>
    <w:rsid w:val="00BC41B5"/>
    <w:rsid w:val="00BC5A4D"/>
    <w:rsid w:val="00BC7783"/>
    <w:rsid w:val="00BD091C"/>
    <w:rsid w:val="00BD1631"/>
    <w:rsid w:val="00BD31D3"/>
    <w:rsid w:val="00BD55FC"/>
    <w:rsid w:val="00BD6273"/>
    <w:rsid w:val="00BD67B1"/>
    <w:rsid w:val="00BE5261"/>
    <w:rsid w:val="00BE7500"/>
    <w:rsid w:val="00BE7B3F"/>
    <w:rsid w:val="00BF4416"/>
    <w:rsid w:val="00BF449E"/>
    <w:rsid w:val="00BF46D7"/>
    <w:rsid w:val="00BF5561"/>
    <w:rsid w:val="00BF630D"/>
    <w:rsid w:val="00BF6EB6"/>
    <w:rsid w:val="00C03D2D"/>
    <w:rsid w:val="00C042E6"/>
    <w:rsid w:val="00C07B22"/>
    <w:rsid w:val="00C07D96"/>
    <w:rsid w:val="00C10DF1"/>
    <w:rsid w:val="00C12B51"/>
    <w:rsid w:val="00C13DC1"/>
    <w:rsid w:val="00C15264"/>
    <w:rsid w:val="00C15795"/>
    <w:rsid w:val="00C16357"/>
    <w:rsid w:val="00C17978"/>
    <w:rsid w:val="00C2032B"/>
    <w:rsid w:val="00C20E9C"/>
    <w:rsid w:val="00C21CF2"/>
    <w:rsid w:val="00C235C7"/>
    <w:rsid w:val="00C23FA7"/>
    <w:rsid w:val="00C24650"/>
    <w:rsid w:val="00C2597A"/>
    <w:rsid w:val="00C25AAF"/>
    <w:rsid w:val="00C25BD1"/>
    <w:rsid w:val="00C27752"/>
    <w:rsid w:val="00C27B36"/>
    <w:rsid w:val="00C31C47"/>
    <w:rsid w:val="00C32347"/>
    <w:rsid w:val="00C33079"/>
    <w:rsid w:val="00C330DF"/>
    <w:rsid w:val="00C333E9"/>
    <w:rsid w:val="00C34F52"/>
    <w:rsid w:val="00C37FDE"/>
    <w:rsid w:val="00C41500"/>
    <w:rsid w:val="00C42782"/>
    <w:rsid w:val="00C43926"/>
    <w:rsid w:val="00C4443E"/>
    <w:rsid w:val="00C47D2D"/>
    <w:rsid w:val="00C47F3D"/>
    <w:rsid w:val="00C51D27"/>
    <w:rsid w:val="00C54E61"/>
    <w:rsid w:val="00C556FB"/>
    <w:rsid w:val="00C614CA"/>
    <w:rsid w:val="00C614FA"/>
    <w:rsid w:val="00C62547"/>
    <w:rsid w:val="00C6309C"/>
    <w:rsid w:val="00C63220"/>
    <w:rsid w:val="00C6391F"/>
    <w:rsid w:val="00C64F82"/>
    <w:rsid w:val="00C65F6D"/>
    <w:rsid w:val="00C65FAE"/>
    <w:rsid w:val="00C7087A"/>
    <w:rsid w:val="00C709E8"/>
    <w:rsid w:val="00C72837"/>
    <w:rsid w:val="00C74A7B"/>
    <w:rsid w:val="00C768BB"/>
    <w:rsid w:val="00C773BD"/>
    <w:rsid w:val="00C8235D"/>
    <w:rsid w:val="00C8253A"/>
    <w:rsid w:val="00C8368A"/>
    <w:rsid w:val="00C83A13"/>
    <w:rsid w:val="00C844E3"/>
    <w:rsid w:val="00C903F3"/>
    <w:rsid w:val="00C9068C"/>
    <w:rsid w:val="00C91051"/>
    <w:rsid w:val="00C9285D"/>
    <w:rsid w:val="00C92967"/>
    <w:rsid w:val="00C9499A"/>
    <w:rsid w:val="00C97DD9"/>
    <w:rsid w:val="00CA0C6F"/>
    <w:rsid w:val="00CA160C"/>
    <w:rsid w:val="00CA3D0C"/>
    <w:rsid w:val="00CA4CC4"/>
    <w:rsid w:val="00CA55A2"/>
    <w:rsid w:val="00CA6073"/>
    <w:rsid w:val="00CA654B"/>
    <w:rsid w:val="00CA7FB5"/>
    <w:rsid w:val="00CB1831"/>
    <w:rsid w:val="00CB192D"/>
    <w:rsid w:val="00CB20EE"/>
    <w:rsid w:val="00CB474B"/>
    <w:rsid w:val="00CC05BA"/>
    <w:rsid w:val="00CC365E"/>
    <w:rsid w:val="00CD0243"/>
    <w:rsid w:val="00CD1CFE"/>
    <w:rsid w:val="00CD3E58"/>
    <w:rsid w:val="00CD4A61"/>
    <w:rsid w:val="00CD4C7B"/>
    <w:rsid w:val="00CD6435"/>
    <w:rsid w:val="00CE054B"/>
    <w:rsid w:val="00CE3213"/>
    <w:rsid w:val="00CE3BD1"/>
    <w:rsid w:val="00CE3E5A"/>
    <w:rsid w:val="00CE476C"/>
    <w:rsid w:val="00CF07F5"/>
    <w:rsid w:val="00CF2C9F"/>
    <w:rsid w:val="00CF5B76"/>
    <w:rsid w:val="00CF77AE"/>
    <w:rsid w:val="00D00174"/>
    <w:rsid w:val="00D04103"/>
    <w:rsid w:val="00D048E7"/>
    <w:rsid w:val="00D05C9E"/>
    <w:rsid w:val="00D133BA"/>
    <w:rsid w:val="00D20104"/>
    <w:rsid w:val="00D20E7D"/>
    <w:rsid w:val="00D23786"/>
    <w:rsid w:val="00D26AA2"/>
    <w:rsid w:val="00D27E3D"/>
    <w:rsid w:val="00D3258F"/>
    <w:rsid w:val="00D33118"/>
    <w:rsid w:val="00D34B1E"/>
    <w:rsid w:val="00D402F5"/>
    <w:rsid w:val="00D41585"/>
    <w:rsid w:val="00D42844"/>
    <w:rsid w:val="00D43109"/>
    <w:rsid w:val="00D44328"/>
    <w:rsid w:val="00D450E9"/>
    <w:rsid w:val="00D50FAB"/>
    <w:rsid w:val="00D548D7"/>
    <w:rsid w:val="00D54EF9"/>
    <w:rsid w:val="00D57B51"/>
    <w:rsid w:val="00D62E82"/>
    <w:rsid w:val="00D63BB4"/>
    <w:rsid w:val="00D64B2D"/>
    <w:rsid w:val="00D66F34"/>
    <w:rsid w:val="00D679C7"/>
    <w:rsid w:val="00D738D6"/>
    <w:rsid w:val="00D742F4"/>
    <w:rsid w:val="00D75638"/>
    <w:rsid w:val="00D80795"/>
    <w:rsid w:val="00D8694E"/>
    <w:rsid w:val="00D870B2"/>
    <w:rsid w:val="00D87A08"/>
    <w:rsid w:val="00D87E00"/>
    <w:rsid w:val="00D9134D"/>
    <w:rsid w:val="00D91BCA"/>
    <w:rsid w:val="00D95AF8"/>
    <w:rsid w:val="00D95F4A"/>
    <w:rsid w:val="00D96D11"/>
    <w:rsid w:val="00DA046B"/>
    <w:rsid w:val="00DA0867"/>
    <w:rsid w:val="00DA1584"/>
    <w:rsid w:val="00DA1E58"/>
    <w:rsid w:val="00DA2930"/>
    <w:rsid w:val="00DA4533"/>
    <w:rsid w:val="00DA5616"/>
    <w:rsid w:val="00DA5CBB"/>
    <w:rsid w:val="00DA5F98"/>
    <w:rsid w:val="00DA7A03"/>
    <w:rsid w:val="00DB033E"/>
    <w:rsid w:val="00DB1818"/>
    <w:rsid w:val="00DB276F"/>
    <w:rsid w:val="00DB2B5D"/>
    <w:rsid w:val="00DB4BA8"/>
    <w:rsid w:val="00DB6E8D"/>
    <w:rsid w:val="00DB72F8"/>
    <w:rsid w:val="00DC17FD"/>
    <w:rsid w:val="00DC309B"/>
    <w:rsid w:val="00DC41E9"/>
    <w:rsid w:val="00DC4DA2"/>
    <w:rsid w:val="00DC50B4"/>
    <w:rsid w:val="00DC5F65"/>
    <w:rsid w:val="00DC7854"/>
    <w:rsid w:val="00DD06F0"/>
    <w:rsid w:val="00DD102D"/>
    <w:rsid w:val="00DD43BA"/>
    <w:rsid w:val="00DD70FA"/>
    <w:rsid w:val="00DD722F"/>
    <w:rsid w:val="00DE0D91"/>
    <w:rsid w:val="00DE17D1"/>
    <w:rsid w:val="00DE44B0"/>
    <w:rsid w:val="00DE4A98"/>
    <w:rsid w:val="00DE56A5"/>
    <w:rsid w:val="00DF08B7"/>
    <w:rsid w:val="00DF2B7B"/>
    <w:rsid w:val="00DF5B0C"/>
    <w:rsid w:val="00E02F6A"/>
    <w:rsid w:val="00E03198"/>
    <w:rsid w:val="00E03A46"/>
    <w:rsid w:val="00E03F18"/>
    <w:rsid w:val="00E0415B"/>
    <w:rsid w:val="00E06135"/>
    <w:rsid w:val="00E062E3"/>
    <w:rsid w:val="00E074C7"/>
    <w:rsid w:val="00E113C0"/>
    <w:rsid w:val="00E23537"/>
    <w:rsid w:val="00E25BEF"/>
    <w:rsid w:val="00E25C19"/>
    <w:rsid w:val="00E307FC"/>
    <w:rsid w:val="00E313B9"/>
    <w:rsid w:val="00E31932"/>
    <w:rsid w:val="00E31E89"/>
    <w:rsid w:val="00E33147"/>
    <w:rsid w:val="00E34168"/>
    <w:rsid w:val="00E35793"/>
    <w:rsid w:val="00E36407"/>
    <w:rsid w:val="00E4026E"/>
    <w:rsid w:val="00E40E41"/>
    <w:rsid w:val="00E42D93"/>
    <w:rsid w:val="00E448A1"/>
    <w:rsid w:val="00E4673B"/>
    <w:rsid w:val="00E50281"/>
    <w:rsid w:val="00E50F6F"/>
    <w:rsid w:val="00E51DC4"/>
    <w:rsid w:val="00E539D7"/>
    <w:rsid w:val="00E54361"/>
    <w:rsid w:val="00E546AB"/>
    <w:rsid w:val="00E56EEF"/>
    <w:rsid w:val="00E5762C"/>
    <w:rsid w:val="00E60CAF"/>
    <w:rsid w:val="00E61B39"/>
    <w:rsid w:val="00E61F43"/>
    <w:rsid w:val="00E62835"/>
    <w:rsid w:val="00E64523"/>
    <w:rsid w:val="00E6528D"/>
    <w:rsid w:val="00E6683D"/>
    <w:rsid w:val="00E7041F"/>
    <w:rsid w:val="00E70A06"/>
    <w:rsid w:val="00E73610"/>
    <w:rsid w:val="00E73923"/>
    <w:rsid w:val="00E751E7"/>
    <w:rsid w:val="00E76317"/>
    <w:rsid w:val="00E76946"/>
    <w:rsid w:val="00E769AC"/>
    <w:rsid w:val="00E77645"/>
    <w:rsid w:val="00E77AE3"/>
    <w:rsid w:val="00E77E21"/>
    <w:rsid w:val="00E810BF"/>
    <w:rsid w:val="00E83697"/>
    <w:rsid w:val="00E83810"/>
    <w:rsid w:val="00E854D4"/>
    <w:rsid w:val="00E858CD"/>
    <w:rsid w:val="00E86402"/>
    <w:rsid w:val="00E870A0"/>
    <w:rsid w:val="00E91487"/>
    <w:rsid w:val="00E91DDC"/>
    <w:rsid w:val="00E925C9"/>
    <w:rsid w:val="00E9444B"/>
    <w:rsid w:val="00E94C85"/>
    <w:rsid w:val="00EA0AAF"/>
    <w:rsid w:val="00EA1DC3"/>
    <w:rsid w:val="00EA1ED6"/>
    <w:rsid w:val="00EA6CB4"/>
    <w:rsid w:val="00EB2AF5"/>
    <w:rsid w:val="00EB4566"/>
    <w:rsid w:val="00EB4E5D"/>
    <w:rsid w:val="00EB564C"/>
    <w:rsid w:val="00EB7699"/>
    <w:rsid w:val="00EC0A52"/>
    <w:rsid w:val="00EC39EB"/>
    <w:rsid w:val="00EC464F"/>
    <w:rsid w:val="00EC4A25"/>
    <w:rsid w:val="00EC5873"/>
    <w:rsid w:val="00EC5DC4"/>
    <w:rsid w:val="00EC6A06"/>
    <w:rsid w:val="00EC717A"/>
    <w:rsid w:val="00ED09BF"/>
    <w:rsid w:val="00ED1D93"/>
    <w:rsid w:val="00ED20B1"/>
    <w:rsid w:val="00ED43A5"/>
    <w:rsid w:val="00EE1512"/>
    <w:rsid w:val="00EE217F"/>
    <w:rsid w:val="00EE4120"/>
    <w:rsid w:val="00EE44AD"/>
    <w:rsid w:val="00EE7503"/>
    <w:rsid w:val="00EE7D61"/>
    <w:rsid w:val="00EF1E0A"/>
    <w:rsid w:val="00EF267F"/>
    <w:rsid w:val="00EF2F1F"/>
    <w:rsid w:val="00EF4E32"/>
    <w:rsid w:val="00F025A2"/>
    <w:rsid w:val="00F04C08"/>
    <w:rsid w:val="00F04C45"/>
    <w:rsid w:val="00F05D71"/>
    <w:rsid w:val="00F06F0B"/>
    <w:rsid w:val="00F07388"/>
    <w:rsid w:val="00F07FD6"/>
    <w:rsid w:val="00F10B6B"/>
    <w:rsid w:val="00F11D6B"/>
    <w:rsid w:val="00F12B8B"/>
    <w:rsid w:val="00F17066"/>
    <w:rsid w:val="00F2026E"/>
    <w:rsid w:val="00F20B49"/>
    <w:rsid w:val="00F20C7B"/>
    <w:rsid w:val="00F2210A"/>
    <w:rsid w:val="00F24379"/>
    <w:rsid w:val="00F2595D"/>
    <w:rsid w:val="00F2754C"/>
    <w:rsid w:val="00F31951"/>
    <w:rsid w:val="00F31CC8"/>
    <w:rsid w:val="00F32173"/>
    <w:rsid w:val="00F3250E"/>
    <w:rsid w:val="00F326D6"/>
    <w:rsid w:val="00F32EE5"/>
    <w:rsid w:val="00F37743"/>
    <w:rsid w:val="00F40310"/>
    <w:rsid w:val="00F42B86"/>
    <w:rsid w:val="00F44FCE"/>
    <w:rsid w:val="00F47078"/>
    <w:rsid w:val="00F4731F"/>
    <w:rsid w:val="00F52DBE"/>
    <w:rsid w:val="00F53AAD"/>
    <w:rsid w:val="00F5490A"/>
    <w:rsid w:val="00F54A3D"/>
    <w:rsid w:val="00F54F7D"/>
    <w:rsid w:val="00F57BF9"/>
    <w:rsid w:val="00F62456"/>
    <w:rsid w:val="00F653B8"/>
    <w:rsid w:val="00F66E5B"/>
    <w:rsid w:val="00F705E6"/>
    <w:rsid w:val="00F71B89"/>
    <w:rsid w:val="00F7353C"/>
    <w:rsid w:val="00F75B5F"/>
    <w:rsid w:val="00F76050"/>
    <w:rsid w:val="00F76F8F"/>
    <w:rsid w:val="00F80C4B"/>
    <w:rsid w:val="00F80F72"/>
    <w:rsid w:val="00F81496"/>
    <w:rsid w:val="00F8151C"/>
    <w:rsid w:val="00F83135"/>
    <w:rsid w:val="00F84AD1"/>
    <w:rsid w:val="00F8529B"/>
    <w:rsid w:val="00F8570F"/>
    <w:rsid w:val="00F8639A"/>
    <w:rsid w:val="00F941A4"/>
    <w:rsid w:val="00F97D6E"/>
    <w:rsid w:val="00FA0274"/>
    <w:rsid w:val="00FA0D44"/>
    <w:rsid w:val="00FA1266"/>
    <w:rsid w:val="00FA1C5C"/>
    <w:rsid w:val="00FA2EA8"/>
    <w:rsid w:val="00FA4BA7"/>
    <w:rsid w:val="00FA6B50"/>
    <w:rsid w:val="00FA7156"/>
    <w:rsid w:val="00FA760F"/>
    <w:rsid w:val="00FA7A0F"/>
    <w:rsid w:val="00FB0844"/>
    <w:rsid w:val="00FB11CA"/>
    <w:rsid w:val="00FB16A0"/>
    <w:rsid w:val="00FB1ACE"/>
    <w:rsid w:val="00FB1FDF"/>
    <w:rsid w:val="00FB4507"/>
    <w:rsid w:val="00FB46CA"/>
    <w:rsid w:val="00FB69F2"/>
    <w:rsid w:val="00FC0B77"/>
    <w:rsid w:val="00FC1192"/>
    <w:rsid w:val="00FC40D3"/>
    <w:rsid w:val="00FC5133"/>
    <w:rsid w:val="00FC77D8"/>
    <w:rsid w:val="00FD03E5"/>
    <w:rsid w:val="00FD1FA7"/>
    <w:rsid w:val="00FD2CBF"/>
    <w:rsid w:val="00FD4EDD"/>
    <w:rsid w:val="00FE0DB2"/>
    <w:rsid w:val="00FE55FB"/>
    <w:rsid w:val="00FE5909"/>
    <w:rsid w:val="00FF05DE"/>
    <w:rsid w:val="00FF0BC3"/>
    <w:rsid w:val="00FF3826"/>
    <w:rsid w:val="00FF3C83"/>
    <w:rsid w:val="00FF4802"/>
    <w:rsid w:val="00FF4FF4"/>
    <w:rsid w:val="00FF5002"/>
    <w:rsid w:val="00FF77D0"/>
    <w:rsid w:val="02930042"/>
    <w:rsid w:val="04C95396"/>
    <w:rsid w:val="059D0A04"/>
    <w:rsid w:val="079072D0"/>
    <w:rsid w:val="08B72D4B"/>
    <w:rsid w:val="09E35FBD"/>
    <w:rsid w:val="0AF94C1A"/>
    <w:rsid w:val="0C672BD3"/>
    <w:rsid w:val="0CCB0E5E"/>
    <w:rsid w:val="0CD26045"/>
    <w:rsid w:val="0F4A2AF6"/>
    <w:rsid w:val="0F545BF0"/>
    <w:rsid w:val="0FBB2283"/>
    <w:rsid w:val="101D30EB"/>
    <w:rsid w:val="118229E2"/>
    <w:rsid w:val="12D33B16"/>
    <w:rsid w:val="13EC0AED"/>
    <w:rsid w:val="163B5AC6"/>
    <w:rsid w:val="16BE26F9"/>
    <w:rsid w:val="18680694"/>
    <w:rsid w:val="1A820747"/>
    <w:rsid w:val="1B5F4A6D"/>
    <w:rsid w:val="1CFF51A9"/>
    <w:rsid w:val="1D9D1C14"/>
    <w:rsid w:val="1DEF3CAD"/>
    <w:rsid w:val="1E37416A"/>
    <w:rsid w:val="1E5C717D"/>
    <w:rsid w:val="1E7A730A"/>
    <w:rsid w:val="1F457054"/>
    <w:rsid w:val="1F8B2051"/>
    <w:rsid w:val="206E0E34"/>
    <w:rsid w:val="20762ED5"/>
    <w:rsid w:val="20CD4DF2"/>
    <w:rsid w:val="230332E7"/>
    <w:rsid w:val="2573337B"/>
    <w:rsid w:val="26781317"/>
    <w:rsid w:val="27B91DCD"/>
    <w:rsid w:val="2A8932B0"/>
    <w:rsid w:val="2B6D7ACB"/>
    <w:rsid w:val="2C523826"/>
    <w:rsid w:val="2C7E592F"/>
    <w:rsid w:val="2D8B7035"/>
    <w:rsid w:val="3122543A"/>
    <w:rsid w:val="35740C40"/>
    <w:rsid w:val="35E368FD"/>
    <w:rsid w:val="36F079A3"/>
    <w:rsid w:val="37FE5E8F"/>
    <w:rsid w:val="3B54435D"/>
    <w:rsid w:val="3B7522D1"/>
    <w:rsid w:val="3BD71150"/>
    <w:rsid w:val="3E04574F"/>
    <w:rsid w:val="3EFA6A59"/>
    <w:rsid w:val="41B23B2A"/>
    <w:rsid w:val="429B4810"/>
    <w:rsid w:val="4BEF0FE3"/>
    <w:rsid w:val="4C6946B6"/>
    <w:rsid w:val="4D077EEE"/>
    <w:rsid w:val="4E4A2600"/>
    <w:rsid w:val="4E631DD7"/>
    <w:rsid w:val="4EE12FB5"/>
    <w:rsid w:val="4FAE5593"/>
    <w:rsid w:val="506A7F16"/>
    <w:rsid w:val="53D83F57"/>
    <w:rsid w:val="579523CC"/>
    <w:rsid w:val="5A713592"/>
    <w:rsid w:val="5AD325FC"/>
    <w:rsid w:val="5B7D0412"/>
    <w:rsid w:val="5CBF7B5D"/>
    <w:rsid w:val="5DEB4069"/>
    <w:rsid w:val="614A0049"/>
    <w:rsid w:val="633140F4"/>
    <w:rsid w:val="648E266A"/>
    <w:rsid w:val="649B678A"/>
    <w:rsid w:val="64C322D9"/>
    <w:rsid w:val="663C1C6E"/>
    <w:rsid w:val="679977B4"/>
    <w:rsid w:val="69D560F1"/>
    <w:rsid w:val="69D9281F"/>
    <w:rsid w:val="6A3E6266"/>
    <w:rsid w:val="6D40558C"/>
    <w:rsid w:val="6E4377B3"/>
    <w:rsid w:val="6F686D97"/>
    <w:rsid w:val="707B5B04"/>
    <w:rsid w:val="71657AF4"/>
    <w:rsid w:val="71D545CF"/>
    <w:rsid w:val="72394C9A"/>
    <w:rsid w:val="75CC10D7"/>
    <w:rsid w:val="75DE796D"/>
    <w:rsid w:val="77C656C3"/>
    <w:rsid w:val="77F178AE"/>
    <w:rsid w:val="785C0605"/>
    <w:rsid w:val="7905736E"/>
    <w:rsid w:val="7A5614FA"/>
    <w:rsid w:val="7C486A6B"/>
    <w:rsid w:val="7C8D5A29"/>
    <w:rsid w:val="7CA1531A"/>
    <w:rsid w:val="7CD00441"/>
    <w:rsid w:val="7D7C0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iPriority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qFormat="1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28">
    <w:name w:val="Default Paragraph Font"/>
    <w:semiHidden/>
    <w:unhideWhenUsed/>
    <w:qFormat/>
    <w:uiPriority w:val="1"/>
  </w:style>
  <w:style w:type="table" w:default="1" w:styleId="2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19">
    <w:name w:val="annotation text"/>
    <w:basedOn w:val="1"/>
    <w:link w:val="83"/>
    <w:qFormat/>
    <w:uiPriority w:val="0"/>
  </w:style>
  <w:style w:type="paragraph" w:styleId="20">
    <w:name w:val="toc 8"/>
    <w:basedOn w:val="18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21">
    <w:name w:val="Balloon Text"/>
    <w:basedOn w:val="1"/>
    <w:link w:val="69"/>
    <w:semiHidden/>
    <w:unhideWhenUsed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22">
    <w:name w:val="footer"/>
    <w:basedOn w:val="23"/>
    <w:qFormat/>
    <w:uiPriority w:val="0"/>
    <w:pPr>
      <w:jc w:val="center"/>
    </w:pPr>
    <w:rPr>
      <w:i/>
    </w:rPr>
  </w:style>
  <w:style w:type="paragraph" w:styleId="23">
    <w:name w:val="header"/>
    <w:link w:val="66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b/>
      <w:sz w:val="18"/>
      <w:lang w:val="en-GB" w:eastAsia="ja-JP" w:bidi="ar-SA"/>
    </w:rPr>
  </w:style>
  <w:style w:type="paragraph" w:styleId="24">
    <w:name w:val="toc 9"/>
    <w:basedOn w:val="20"/>
    <w:next w:val="1"/>
    <w:semiHidden/>
    <w:qFormat/>
    <w:uiPriority w:val="0"/>
    <w:pPr>
      <w:ind w:left="1418" w:hanging="1418"/>
    </w:pPr>
  </w:style>
  <w:style w:type="paragraph" w:styleId="25">
    <w:name w:val="annotation subject"/>
    <w:basedOn w:val="19"/>
    <w:next w:val="19"/>
    <w:link w:val="84"/>
    <w:semiHidden/>
    <w:unhideWhenUsed/>
    <w:qFormat/>
    <w:uiPriority w:val="0"/>
    <w:rPr>
      <w:b/>
      <w:bCs/>
    </w:rPr>
  </w:style>
  <w:style w:type="table" w:styleId="27">
    <w:name w:val="Table Grid"/>
    <w:basedOn w:val="26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9">
    <w:name w:val="Hyperlink"/>
    <w:qFormat/>
    <w:uiPriority w:val="0"/>
    <w:rPr>
      <w:color w:val="0000FF"/>
      <w:u w:val="single"/>
    </w:rPr>
  </w:style>
  <w:style w:type="character" w:styleId="30">
    <w:name w:val="annotation reference"/>
    <w:qFormat/>
    <w:uiPriority w:val="0"/>
    <w:rPr>
      <w:sz w:val="16"/>
      <w:szCs w:val="16"/>
    </w:rPr>
  </w:style>
  <w:style w:type="paragraph" w:customStyle="1" w:styleId="3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32">
    <w:name w:val="ZGSM"/>
    <w:qFormat/>
    <w:uiPriority w:val="0"/>
  </w:style>
  <w:style w:type="paragraph" w:customStyle="1" w:styleId="3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34">
    <w:name w:val="TT"/>
    <w:basedOn w:val="2"/>
    <w:next w:val="1"/>
    <w:qFormat/>
    <w:uiPriority w:val="0"/>
    <w:pPr>
      <w:outlineLvl w:val="9"/>
    </w:pPr>
  </w:style>
  <w:style w:type="paragraph" w:customStyle="1" w:styleId="35">
    <w:name w:val="NF"/>
    <w:basedOn w:val="3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36">
    <w:name w:val="NO"/>
    <w:basedOn w:val="1"/>
    <w:qFormat/>
    <w:uiPriority w:val="0"/>
    <w:pPr>
      <w:keepLines/>
      <w:ind w:left="1135" w:hanging="851"/>
    </w:pPr>
  </w:style>
  <w:style w:type="paragraph" w:customStyle="1" w:styleId="37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38">
    <w:name w:val="TAR"/>
    <w:basedOn w:val="39"/>
    <w:qFormat/>
    <w:uiPriority w:val="0"/>
    <w:pPr>
      <w:jc w:val="right"/>
    </w:pPr>
  </w:style>
  <w:style w:type="paragraph" w:customStyle="1" w:styleId="39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40">
    <w:name w:val="TAH"/>
    <w:basedOn w:val="41"/>
    <w:qFormat/>
    <w:uiPriority w:val="0"/>
    <w:rPr>
      <w:b/>
    </w:rPr>
  </w:style>
  <w:style w:type="paragraph" w:customStyle="1" w:styleId="41">
    <w:name w:val="TAC"/>
    <w:basedOn w:val="39"/>
    <w:qFormat/>
    <w:uiPriority w:val="0"/>
    <w:pPr>
      <w:jc w:val="center"/>
    </w:pPr>
  </w:style>
  <w:style w:type="paragraph" w:customStyle="1" w:styleId="42">
    <w:name w:val="LD"/>
    <w:qFormat/>
    <w:uiPriority w:val="0"/>
    <w:pPr>
      <w:keepNext/>
      <w:keepLines/>
      <w:spacing w:line="180" w:lineRule="exact"/>
    </w:pPr>
    <w:rPr>
      <w:rFonts w:ascii="Courier New" w:hAnsi="Courier New" w:cs="Times New Roman" w:eastAsiaTheme="minorEastAsia"/>
      <w:lang w:val="en-GB" w:eastAsia="en-US" w:bidi="ar-SA"/>
    </w:rPr>
  </w:style>
  <w:style w:type="paragraph" w:customStyle="1" w:styleId="43">
    <w:name w:val="EX"/>
    <w:basedOn w:val="1"/>
    <w:qFormat/>
    <w:uiPriority w:val="0"/>
    <w:pPr>
      <w:keepLines/>
      <w:ind w:left="1702" w:hanging="1418"/>
    </w:pPr>
  </w:style>
  <w:style w:type="paragraph" w:customStyle="1" w:styleId="44">
    <w:name w:val="FP"/>
    <w:basedOn w:val="1"/>
    <w:qFormat/>
    <w:uiPriority w:val="0"/>
    <w:pPr>
      <w:spacing w:after="0"/>
    </w:pPr>
  </w:style>
  <w:style w:type="paragraph" w:customStyle="1" w:styleId="45">
    <w:name w:val="NW"/>
    <w:basedOn w:val="36"/>
    <w:qFormat/>
    <w:uiPriority w:val="0"/>
    <w:pPr>
      <w:spacing w:after="0"/>
    </w:pPr>
  </w:style>
  <w:style w:type="paragraph" w:customStyle="1" w:styleId="46">
    <w:name w:val="EW"/>
    <w:basedOn w:val="43"/>
    <w:qFormat/>
    <w:uiPriority w:val="0"/>
    <w:pPr>
      <w:spacing w:after="0"/>
    </w:pPr>
  </w:style>
  <w:style w:type="paragraph" w:customStyle="1" w:styleId="47">
    <w:name w:val="B1"/>
    <w:basedOn w:val="1"/>
    <w:qFormat/>
    <w:uiPriority w:val="0"/>
    <w:pPr>
      <w:ind w:left="568" w:hanging="284"/>
    </w:pPr>
  </w:style>
  <w:style w:type="paragraph" w:customStyle="1" w:styleId="48">
    <w:name w:val="Editor's Note"/>
    <w:basedOn w:val="36"/>
    <w:qFormat/>
    <w:uiPriority w:val="0"/>
    <w:rPr>
      <w:color w:val="FF0000"/>
    </w:rPr>
  </w:style>
  <w:style w:type="paragraph" w:customStyle="1" w:styleId="49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5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5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4">
    <w:name w:val="TAN"/>
    <w:basedOn w:val="39"/>
    <w:qFormat/>
    <w:uiPriority w:val="0"/>
    <w:pPr>
      <w:ind w:left="851" w:hanging="851"/>
    </w:pPr>
  </w:style>
  <w:style w:type="paragraph" w:customStyle="1" w:styleId="55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6">
    <w:name w:val="TF"/>
    <w:basedOn w:val="49"/>
    <w:qFormat/>
    <w:uiPriority w:val="0"/>
    <w:pPr>
      <w:keepNext w:val="0"/>
      <w:spacing w:before="0" w:after="240"/>
    </w:pPr>
  </w:style>
  <w:style w:type="paragraph" w:customStyle="1" w:styleId="5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8">
    <w:name w:val="B2"/>
    <w:basedOn w:val="1"/>
    <w:qFormat/>
    <w:uiPriority w:val="0"/>
    <w:pPr>
      <w:ind w:left="851" w:hanging="284"/>
    </w:pPr>
  </w:style>
  <w:style w:type="paragraph" w:customStyle="1" w:styleId="59">
    <w:name w:val="B3"/>
    <w:basedOn w:val="1"/>
    <w:qFormat/>
    <w:uiPriority w:val="0"/>
    <w:pPr>
      <w:ind w:left="1135" w:hanging="284"/>
    </w:pPr>
  </w:style>
  <w:style w:type="paragraph" w:customStyle="1" w:styleId="60">
    <w:name w:val="B4"/>
    <w:basedOn w:val="1"/>
    <w:qFormat/>
    <w:uiPriority w:val="0"/>
    <w:pPr>
      <w:ind w:left="1418" w:hanging="284"/>
    </w:pPr>
  </w:style>
  <w:style w:type="paragraph" w:customStyle="1" w:styleId="61">
    <w:name w:val="B5"/>
    <w:basedOn w:val="1"/>
    <w:qFormat/>
    <w:uiPriority w:val="0"/>
    <w:pPr>
      <w:ind w:left="1702" w:hanging="284"/>
    </w:pPr>
  </w:style>
  <w:style w:type="paragraph" w:customStyle="1" w:styleId="62">
    <w:name w:val="ZTD"/>
    <w:basedOn w:val="51"/>
    <w:qFormat/>
    <w:uiPriority w:val="0"/>
    <w:pPr>
      <w:framePr w:hRule="auto" w:y="852"/>
    </w:pPr>
    <w:rPr>
      <w:i w:val="0"/>
      <w:sz w:val="40"/>
    </w:rPr>
  </w:style>
  <w:style w:type="paragraph" w:customStyle="1" w:styleId="63">
    <w:name w:val="ZV"/>
    <w:basedOn w:val="53"/>
    <w:qFormat/>
    <w:uiPriority w:val="0"/>
    <w:pPr>
      <w:framePr w:y="16161"/>
    </w:pPr>
  </w:style>
  <w:style w:type="paragraph" w:customStyle="1" w:styleId="64">
    <w:name w:val="TAJ"/>
    <w:basedOn w:val="49"/>
    <w:qFormat/>
    <w:uiPriority w:val="0"/>
  </w:style>
  <w:style w:type="paragraph" w:customStyle="1" w:styleId="65">
    <w:name w:val="Guidance"/>
    <w:basedOn w:val="1"/>
    <w:qFormat/>
    <w:uiPriority w:val="0"/>
    <w:rPr>
      <w:i/>
      <w:color w:val="0000FF"/>
    </w:rPr>
  </w:style>
  <w:style w:type="character" w:customStyle="1" w:styleId="66">
    <w:name w:val="页眉 Char"/>
    <w:link w:val="23"/>
    <w:qFormat/>
    <w:uiPriority w:val="0"/>
    <w:rPr>
      <w:rFonts w:ascii="Arial" w:hAnsi="Arial"/>
      <w:b/>
      <w:sz w:val="18"/>
      <w:lang w:val="en-GB" w:eastAsia="ja-JP" w:bidi="ar-SA"/>
    </w:rPr>
  </w:style>
  <w:style w:type="paragraph" w:customStyle="1" w:styleId="67">
    <w:name w:val="CR Cover Page"/>
    <w:link w:val="72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styleId="68">
    <w:name w:val="List Paragraph"/>
    <w:basedOn w:val="1"/>
    <w:link w:val="74"/>
    <w:qFormat/>
    <w:uiPriority w:val="34"/>
    <w:pPr>
      <w:ind w:left="720"/>
      <w:contextualSpacing/>
    </w:pPr>
  </w:style>
  <w:style w:type="character" w:customStyle="1" w:styleId="69">
    <w:name w:val="批注框文本 Char"/>
    <w:link w:val="21"/>
    <w:semiHidden/>
    <w:qFormat/>
    <w:uiPriority w:val="0"/>
    <w:rPr>
      <w:rFonts w:ascii="Segoe UI" w:hAnsi="Segoe UI" w:cs="Segoe UI"/>
      <w:sz w:val="18"/>
      <w:szCs w:val="18"/>
      <w:lang w:eastAsia="en-US"/>
    </w:rPr>
  </w:style>
  <w:style w:type="paragraph" w:customStyle="1" w:styleId="70">
    <w:name w:val="main text"/>
    <w:basedOn w:val="1"/>
    <w:link w:val="71"/>
    <w:qFormat/>
    <w:uiPriority w:val="0"/>
    <w:pPr>
      <w:spacing w:before="60" w:after="60" w:line="288" w:lineRule="auto"/>
      <w:ind w:firstLine="200" w:firstLineChars="200"/>
      <w:jc w:val="both"/>
    </w:pPr>
    <w:rPr>
      <w:rFonts w:eastAsia="Malgun Gothic" w:cs="Batang"/>
      <w:lang w:eastAsia="ko-KR"/>
    </w:rPr>
  </w:style>
  <w:style w:type="character" w:customStyle="1" w:styleId="71">
    <w:name w:val="main text Char"/>
    <w:link w:val="70"/>
    <w:qFormat/>
    <w:uiPriority w:val="0"/>
    <w:rPr>
      <w:rFonts w:eastAsia="Malgun Gothic" w:cs="Batang"/>
      <w:lang w:val="en-GB" w:eastAsia="ko-KR"/>
    </w:rPr>
  </w:style>
  <w:style w:type="character" w:customStyle="1" w:styleId="72">
    <w:name w:val="CR Cover Page Zchn"/>
    <w:link w:val="67"/>
    <w:qFormat/>
    <w:uiPriority w:val="0"/>
    <w:rPr>
      <w:rFonts w:ascii="Arial" w:hAnsi="Arial" w:eastAsia="MS Mincho"/>
      <w:lang w:val="en-GB"/>
    </w:rPr>
  </w:style>
  <w:style w:type="paragraph" w:customStyle="1" w:styleId="73">
    <w:name w:val="DocInfo"/>
    <w:basedOn w:val="1"/>
    <w:qFormat/>
    <w:uiPriority w:val="0"/>
    <w:pPr>
      <w:tabs>
        <w:tab w:val="left" w:pos="2160"/>
      </w:tabs>
      <w:spacing w:before="120" w:after="120"/>
    </w:pPr>
    <w:rPr>
      <w:rFonts w:eastAsia="宋体"/>
      <w:sz w:val="28"/>
      <w:szCs w:val="28"/>
    </w:rPr>
  </w:style>
  <w:style w:type="character" w:customStyle="1" w:styleId="74">
    <w:name w:val="列出段落 Char"/>
    <w:link w:val="68"/>
    <w:qFormat/>
    <w:locked/>
    <w:uiPriority w:val="34"/>
    <w:rPr>
      <w:lang w:val="en-GB"/>
    </w:rPr>
  </w:style>
  <w:style w:type="paragraph" w:customStyle="1" w:styleId="75">
    <w:name w:val="Doc-title"/>
    <w:basedOn w:val="1"/>
    <w:next w:val="76"/>
    <w:link w:val="78"/>
    <w:qFormat/>
    <w:uiPriority w:val="0"/>
    <w:pPr>
      <w:spacing w:before="60" w:after="0"/>
      <w:ind w:left="1259" w:hanging="1259"/>
    </w:pPr>
    <w:rPr>
      <w:rFonts w:ascii="Arial" w:hAnsi="Arial" w:eastAsia="MS Mincho"/>
      <w:szCs w:val="24"/>
      <w:lang w:eastAsia="en-GB"/>
    </w:rPr>
  </w:style>
  <w:style w:type="paragraph" w:customStyle="1" w:styleId="76">
    <w:name w:val="Doc-text2"/>
    <w:basedOn w:val="1"/>
    <w:link w:val="77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77">
    <w:name w:val="Doc-text2 Char"/>
    <w:link w:val="76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78">
    <w:name w:val="Doc-title Char"/>
    <w:link w:val="75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79">
    <w:name w:val="Agreement"/>
    <w:basedOn w:val="1"/>
    <w:next w:val="76"/>
    <w:qFormat/>
    <w:uiPriority w:val="0"/>
    <w:pPr>
      <w:numPr>
        <w:ilvl w:val="0"/>
        <w:numId w:val="1"/>
      </w:numPr>
      <w:spacing w:before="60" w:after="0"/>
    </w:pPr>
    <w:rPr>
      <w:rFonts w:ascii="Arial" w:hAnsi="Arial" w:eastAsia="MS Mincho"/>
      <w:b/>
      <w:szCs w:val="24"/>
      <w:lang w:eastAsia="en-GB"/>
    </w:rPr>
  </w:style>
  <w:style w:type="paragraph" w:customStyle="1" w:styleId="80">
    <w:name w:val="EmailDiscussion"/>
    <w:basedOn w:val="1"/>
    <w:next w:val="81"/>
    <w:link w:val="82"/>
    <w:qFormat/>
    <w:uiPriority w:val="0"/>
    <w:pPr>
      <w:numPr>
        <w:ilvl w:val="0"/>
        <w:numId w:val="2"/>
      </w:numPr>
      <w:spacing w:before="40" w:after="0"/>
    </w:pPr>
    <w:rPr>
      <w:rFonts w:ascii="Arial" w:hAnsi="Arial" w:eastAsia="MS Mincho"/>
      <w:b/>
      <w:szCs w:val="24"/>
      <w:lang w:eastAsia="en-GB"/>
    </w:rPr>
  </w:style>
  <w:style w:type="paragraph" w:customStyle="1" w:styleId="81">
    <w:name w:val="EmailDiscussion2"/>
    <w:basedOn w:val="76"/>
    <w:qFormat/>
    <w:uiPriority w:val="0"/>
  </w:style>
  <w:style w:type="character" w:customStyle="1" w:styleId="82">
    <w:name w:val="EmailDiscussion Char"/>
    <w:link w:val="80"/>
    <w:qFormat/>
    <w:uiPriority w:val="0"/>
    <w:rPr>
      <w:rFonts w:ascii="Arial" w:hAnsi="Arial" w:eastAsia="MS Mincho"/>
      <w:b/>
      <w:szCs w:val="24"/>
      <w:lang w:val="en-GB" w:eastAsia="en-GB"/>
    </w:rPr>
  </w:style>
  <w:style w:type="character" w:customStyle="1" w:styleId="83">
    <w:name w:val="批注文字 Char"/>
    <w:basedOn w:val="28"/>
    <w:link w:val="19"/>
    <w:qFormat/>
    <w:uiPriority w:val="0"/>
    <w:rPr>
      <w:lang w:val="en-GB" w:eastAsia="en-US"/>
    </w:rPr>
  </w:style>
  <w:style w:type="character" w:customStyle="1" w:styleId="84">
    <w:name w:val="批注主题 Char"/>
    <w:basedOn w:val="83"/>
    <w:link w:val="25"/>
    <w:semiHidden/>
    <w:qFormat/>
    <w:uiPriority w:val="0"/>
    <w:rPr>
      <w:b/>
      <w:bCs/>
      <w:lang w:val="en-GB" w:eastAsia="en-US"/>
    </w:rPr>
  </w:style>
  <w:style w:type="paragraph" w:customStyle="1" w:styleId="85">
    <w:name w:val="3GPP_Header"/>
    <w:basedOn w:val="1"/>
    <w:qFormat/>
    <w:uiPriority w:val="0"/>
    <w:pPr>
      <w:tabs>
        <w:tab w:val="left" w:pos="1701"/>
        <w:tab w:val="right" w:pos="9639"/>
      </w:tabs>
      <w:spacing w:after="240"/>
    </w:pPr>
    <w:rPr>
      <w:b/>
      <w:sz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4.xml"/><Relationship Id="rId8" Type="http://schemas.openxmlformats.org/officeDocument/2006/relationships/customXml" Target="../customXml/item3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5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0af50fc50ca3aca08309c1c8e49506d0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ab7cead838d7b5c48c4a7e8e06594044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E38600D-6A7D-4901-B2AE-FB61E9D43D2E}">
  <ds:schemaRefs/>
</ds:datastoreItem>
</file>

<file path=customXml/itemProps3.xml><?xml version="1.0" encoding="utf-8"?>
<ds:datastoreItem xmlns:ds="http://schemas.openxmlformats.org/officeDocument/2006/customXml" ds:itemID="{E8EDFA05-CD50-438D-A79F-CBCA108C7678}">
  <ds:schemaRefs/>
</ds:datastoreItem>
</file>

<file path=customXml/itemProps4.xml><?xml version="1.0" encoding="utf-8"?>
<ds:datastoreItem xmlns:ds="http://schemas.openxmlformats.org/officeDocument/2006/customXml" ds:itemID="{FE236CA7-CD3E-4EEB-81CB-39957EA431C0}">
  <ds:schemaRefs/>
</ds:datastoreItem>
</file>

<file path=customXml/itemProps5.xml><?xml version="1.0" encoding="utf-8"?>
<ds:datastoreItem xmlns:ds="http://schemas.openxmlformats.org/officeDocument/2006/customXml" ds:itemID="{91E2603E-40F4-448A-9800-D3537A860ED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Company>Nokia Siemens Networks</Company>
  <Pages>6</Pages>
  <Words>1981</Words>
  <Characters>11294</Characters>
  <Lines>94</Lines>
  <Paragraphs>26</Paragraphs>
  <TotalTime>3</TotalTime>
  <ScaleCrop>false</ScaleCrop>
  <LinksUpToDate>false</LinksUpToDate>
  <CharactersWithSpaces>13249</CharactersWithSpaces>
  <Application>WPS Office_11.8.2.11716_F1E327BC-269C-435d-A152-05C5408002CA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2022-08-05T05:40:00Z</dcterms:created>
  <dc:creator>Nokia</dc:creator>
  <cp:lastModifiedBy>unicom</cp:lastModifiedBy>
  <dcterms:modified xsi:type="dcterms:W3CDTF">2022-09-28T07:50:52Z</dcterms:modified>
  <dc:subject>&lt;Title 1; Title 2&gt; (Release 13 |12 |11 | 10 | 9 | 8 | 7 | 6 | 5 | 4)</dc:subject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_dlc_DocIdItemGuid">
    <vt:lpwstr>21bb171a-7980-404d-8a29-41bfbf21cae8</vt:lpwstr>
  </property>
  <property fmtid="{D5CDD505-2E9C-101B-9397-08002B2CF9AE}" pid="4" name="Information">
    <vt:lpwstr/>
  </property>
  <property fmtid="{D5CDD505-2E9C-101B-9397-08002B2CF9AE}" pid="5" name="Associated Task">
    <vt:lpwstr/>
  </property>
  <property fmtid="{D5CDD505-2E9C-101B-9397-08002B2CF9AE}" pid="6" name="_dlc_DocId">
    <vt:lpwstr>SP-5AIRPNAIUNRU-859666464-203</vt:lpwstr>
  </property>
  <property fmtid="{D5CDD505-2E9C-101B-9397-08002B2CF9AE}" pid="7" name="_dlc_DocIdUrl">
    <vt:lpwstr>https://nokia.sharepoint.com/sites/c5g/e2earch/_layouts/15/DocIdRedir.aspx?ID=SP-5AIRPNAIUNRU-859666464-203, SP-5AIRPNAIUNRU-859666464-203</vt:lpwstr>
  </property>
  <property fmtid="{D5CDD505-2E9C-101B-9397-08002B2CF9AE}" pid="8" name="KSOProductBuildVer">
    <vt:lpwstr>2052-11.8.2.11716</vt:lpwstr>
  </property>
  <property fmtid="{D5CDD505-2E9C-101B-9397-08002B2CF9AE}" pid="9" name="ICV">
    <vt:lpwstr>C8AD4258EE8B4E38AD0983A1F622543B</vt:lpwstr>
  </property>
</Properties>
</file>